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380A3" w14:textId="16FBBFD5" w:rsidR="00BF5D4C" w:rsidRDefault="0059221A" w:rsidP="00CB21AB">
      <w:pPr>
        <w:rPr>
          <w:noProof/>
        </w:rPr>
      </w:pPr>
      <w:r>
        <w:rPr>
          <w:noProof/>
        </w:rPr>
        <w:tab/>
      </w:r>
    </w:p>
    <w:p w14:paraId="52FB16C2" w14:textId="77777777" w:rsidR="009519E6" w:rsidRPr="00BF5D4C" w:rsidRDefault="009519E6" w:rsidP="00CB21AB">
      <w:pPr>
        <w:rPr>
          <w:sz w:val="22"/>
          <w:szCs w:val="22"/>
        </w:rPr>
      </w:pPr>
    </w:p>
    <w:p w14:paraId="3D5ADDFB" w14:textId="77777777" w:rsidR="00BF5D4C" w:rsidRDefault="00BF5D4C" w:rsidP="00BF5D4C">
      <w:pPr>
        <w:jc w:val="center"/>
        <w:rPr>
          <w:sz w:val="22"/>
          <w:szCs w:val="22"/>
        </w:rPr>
      </w:pPr>
    </w:p>
    <w:p w14:paraId="6202CE42" w14:textId="77777777" w:rsidR="00950686" w:rsidRPr="00950686" w:rsidRDefault="00950686" w:rsidP="00950686">
      <w:pPr>
        <w:spacing w:line="360" w:lineRule="auto"/>
        <w:jc w:val="center"/>
        <w:rPr>
          <w:rFonts w:ascii="Cambria" w:hAnsi="Cambria"/>
          <w:b/>
          <w:bCs/>
          <w:sz w:val="22"/>
          <w:szCs w:val="22"/>
        </w:rPr>
      </w:pPr>
      <w:r w:rsidRPr="00950686">
        <w:rPr>
          <w:rFonts w:ascii="Cambria" w:hAnsi="Cambria"/>
          <w:b/>
          <w:bCs/>
          <w:sz w:val="22"/>
          <w:szCs w:val="22"/>
        </w:rPr>
        <w:t>Colegio de Profesionales en Orientación</w:t>
      </w:r>
    </w:p>
    <w:p w14:paraId="20AF9F48" w14:textId="77777777" w:rsidR="00950686" w:rsidRPr="00950686" w:rsidRDefault="00950686" w:rsidP="00950686">
      <w:pPr>
        <w:spacing w:line="360" w:lineRule="auto"/>
        <w:jc w:val="center"/>
        <w:rPr>
          <w:rFonts w:ascii="Cambria" w:hAnsi="Cambria"/>
          <w:b/>
          <w:bCs/>
          <w:sz w:val="22"/>
          <w:szCs w:val="22"/>
        </w:rPr>
      </w:pPr>
      <w:r w:rsidRPr="00950686">
        <w:rPr>
          <w:rFonts w:ascii="Cambria" w:hAnsi="Cambria"/>
          <w:b/>
          <w:bCs/>
          <w:sz w:val="22"/>
          <w:szCs w:val="22"/>
        </w:rPr>
        <w:t>Comunicado conjunto</w:t>
      </w:r>
    </w:p>
    <w:p w14:paraId="0C7E56D0" w14:textId="77777777" w:rsidR="00950686" w:rsidRPr="00950686" w:rsidRDefault="00950686" w:rsidP="00950686">
      <w:pPr>
        <w:spacing w:line="360" w:lineRule="auto"/>
        <w:jc w:val="center"/>
        <w:rPr>
          <w:rFonts w:ascii="Cambria" w:hAnsi="Cambria"/>
          <w:b/>
          <w:bCs/>
          <w:sz w:val="22"/>
          <w:szCs w:val="22"/>
        </w:rPr>
      </w:pPr>
      <w:r w:rsidRPr="00950686">
        <w:rPr>
          <w:rFonts w:ascii="Cambria" w:hAnsi="Cambria"/>
          <w:b/>
          <w:bCs/>
          <w:sz w:val="22"/>
          <w:szCs w:val="22"/>
        </w:rPr>
        <w:t>Junta Directiva – Tribunal Electoral</w:t>
      </w:r>
    </w:p>
    <w:p w14:paraId="65D5323E" w14:textId="77777777" w:rsidR="00950686" w:rsidRPr="00950686" w:rsidRDefault="00950686" w:rsidP="00950686">
      <w:pPr>
        <w:spacing w:line="360" w:lineRule="auto"/>
        <w:jc w:val="both"/>
        <w:rPr>
          <w:rFonts w:ascii="Cambria" w:hAnsi="Cambria"/>
          <w:sz w:val="22"/>
          <w:szCs w:val="22"/>
        </w:rPr>
      </w:pPr>
    </w:p>
    <w:p w14:paraId="3EF555B5" w14:textId="77777777" w:rsidR="00950686" w:rsidRPr="00950686" w:rsidRDefault="00950686" w:rsidP="00950686">
      <w:pPr>
        <w:spacing w:line="360" w:lineRule="auto"/>
        <w:jc w:val="both"/>
        <w:rPr>
          <w:rFonts w:ascii="Cambria" w:hAnsi="Cambria"/>
          <w:sz w:val="22"/>
          <w:szCs w:val="22"/>
        </w:rPr>
      </w:pPr>
      <w:r w:rsidRPr="00950686">
        <w:rPr>
          <w:rFonts w:ascii="Cambria" w:hAnsi="Cambria"/>
          <w:sz w:val="22"/>
          <w:szCs w:val="22"/>
        </w:rPr>
        <w:t xml:space="preserve">Que mediante decreto ejecutivo N° 42227 de 16 de marzo de 2020 se </w:t>
      </w:r>
      <w:r w:rsidRPr="00950686">
        <w:rPr>
          <w:rFonts w:ascii="Cambria" w:hAnsi="Cambria"/>
          <w:i/>
          <w:iCs/>
          <w:sz w:val="22"/>
          <w:szCs w:val="22"/>
        </w:rPr>
        <w:t>«[…] declara estado de emergencia nacional en todo el territorio de la República de Costa Rica, debido a la situación de emergencia sanitaria provocada por la enfermedad COVID-19»</w:t>
      </w:r>
      <w:r w:rsidRPr="00950686">
        <w:rPr>
          <w:rFonts w:ascii="Cambria" w:hAnsi="Cambria"/>
          <w:sz w:val="22"/>
          <w:szCs w:val="22"/>
        </w:rPr>
        <w:t>;</w:t>
      </w:r>
    </w:p>
    <w:p w14:paraId="64E5CAC8" w14:textId="77777777" w:rsidR="00950686" w:rsidRPr="00950686" w:rsidRDefault="00950686" w:rsidP="00950686">
      <w:pPr>
        <w:spacing w:line="360" w:lineRule="auto"/>
        <w:jc w:val="both"/>
        <w:rPr>
          <w:rFonts w:ascii="Cambria" w:hAnsi="Cambria"/>
          <w:sz w:val="22"/>
          <w:szCs w:val="22"/>
        </w:rPr>
      </w:pPr>
      <w:r w:rsidRPr="00950686">
        <w:rPr>
          <w:rFonts w:ascii="Cambria" w:hAnsi="Cambria"/>
          <w:sz w:val="22"/>
          <w:szCs w:val="22"/>
        </w:rPr>
        <w:t>Que como efecto de dicha declaratoria se han decretado medidas restrictivas para la realización de actividades que generen aglomeración de personas, sean estas públicas o privadas;</w:t>
      </w:r>
    </w:p>
    <w:p w14:paraId="5EA1462D" w14:textId="77777777" w:rsidR="00950686" w:rsidRPr="00950686" w:rsidRDefault="00950686" w:rsidP="00950686">
      <w:pPr>
        <w:spacing w:line="360" w:lineRule="auto"/>
        <w:jc w:val="both"/>
        <w:rPr>
          <w:rFonts w:ascii="Cambria" w:hAnsi="Cambria"/>
          <w:sz w:val="22"/>
          <w:szCs w:val="22"/>
        </w:rPr>
      </w:pPr>
      <w:r w:rsidRPr="00950686">
        <w:rPr>
          <w:rFonts w:ascii="Cambria" w:hAnsi="Cambria"/>
          <w:sz w:val="22"/>
          <w:szCs w:val="22"/>
        </w:rPr>
        <w:t>Que según lo dispuesto por el artículo 16 de la Ley Orgánica del Colegio de Profesionales en Orientación, la Asamblea General se reunirá, ordinariamente, una vez al año en la primera semana del mes de agosto, para nombrar los puestos de la Junta Directiva que correspondan, conocer el plan anual de actividades, aprobar el presupuesto general de gastos anuales, examinar el funcionamiento del Colegio en todos los aspectos, tomar los acuerdos que considere necesarios y conocer de cualquier asunto relacionado con el funcionamiento del Colegio y tomar los acuerdos que considere necesarios;</w:t>
      </w:r>
    </w:p>
    <w:p w14:paraId="6C0E1F49" w14:textId="77777777" w:rsidR="00950686" w:rsidRPr="00950686" w:rsidRDefault="00950686" w:rsidP="00950686">
      <w:pPr>
        <w:spacing w:line="360" w:lineRule="auto"/>
        <w:jc w:val="both"/>
        <w:rPr>
          <w:rFonts w:ascii="Cambria" w:hAnsi="Cambria"/>
          <w:sz w:val="22"/>
          <w:szCs w:val="22"/>
        </w:rPr>
      </w:pPr>
      <w:r w:rsidRPr="00950686">
        <w:rPr>
          <w:rFonts w:ascii="Cambria" w:hAnsi="Cambria"/>
          <w:sz w:val="22"/>
          <w:szCs w:val="22"/>
        </w:rPr>
        <w:t>Que la Asamblea General Ordinaria constituye un proceso que involucra competencias concurrentes, tanto de la Junta Directiva encargada de convocarla, como del Tribunal Electoral, competente para organizar las elecciones de puestos para los diversos órganos del Colegio;</w:t>
      </w:r>
    </w:p>
    <w:p w14:paraId="74D325C8" w14:textId="77777777" w:rsidR="00950686" w:rsidRPr="00950686" w:rsidRDefault="00950686" w:rsidP="00950686">
      <w:pPr>
        <w:spacing w:line="360" w:lineRule="auto"/>
        <w:jc w:val="both"/>
        <w:rPr>
          <w:rFonts w:ascii="Cambria" w:hAnsi="Cambria"/>
          <w:sz w:val="22"/>
          <w:szCs w:val="22"/>
        </w:rPr>
      </w:pPr>
      <w:r w:rsidRPr="00950686">
        <w:rPr>
          <w:rFonts w:ascii="Cambria" w:hAnsi="Cambria"/>
          <w:sz w:val="22"/>
          <w:szCs w:val="22"/>
        </w:rPr>
        <w:t xml:space="preserve">Que dadas las condiciones jurídicas y de hecho imperantes en el territorio nacional, resulta improcedente realizar en la fecha prevista o alguna cercana, la Asamblea General Ordinaria del Colegio de Profesionales en Orientación; </w:t>
      </w:r>
    </w:p>
    <w:p w14:paraId="635D6A02" w14:textId="77777777" w:rsidR="00950686" w:rsidRDefault="00950686" w:rsidP="00950686">
      <w:pPr>
        <w:spacing w:line="360" w:lineRule="auto"/>
        <w:jc w:val="both"/>
        <w:rPr>
          <w:rFonts w:ascii="Cambria" w:hAnsi="Cambria"/>
          <w:sz w:val="22"/>
          <w:szCs w:val="22"/>
        </w:rPr>
      </w:pPr>
      <w:r w:rsidRPr="00950686">
        <w:rPr>
          <w:rFonts w:ascii="Cambria" w:hAnsi="Cambria"/>
          <w:sz w:val="22"/>
          <w:szCs w:val="22"/>
        </w:rPr>
        <w:t xml:space="preserve">Que el artículo 1 de la ley 9866 de 18 de junio de 2020, denominada AUTORIZACIÓN DE PRÓRROGA EN LOS NOMBRAMIENTOS DE JUNTAS DIRECTIVAS Y OTROS ÓRGANOS EN LAS ORGANIZACIONES CIVILES, LOS CUALES VENCEN EN EL AÑO 2020, PARA QUE ESTE PLAZO SEA EXTENDIDO AL AÑO 2021 DE MANERA AUTOMÁTICA, ANTE LA DECLARATORIA DE EMERGENCIA NACIONAL POR EL COVID-19, dispone que se tienen por prorrogados, hasta por un año adicional, los nombramientos que hayan vencido a partir del 1 de marzo de 2020 y venzan antes del 31 de diciembre de 2020, inclusive, o que </w:t>
      </w:r>
    </w:p>
    <w:p w14:paraId="7507CA42" w14:textId="77777777" w:rsidR="00950686" w:rsidRDefault="00950686" w:rsidP="00950686">
      <w:pPr>
        <w:spacing w:line="360" w:lineRule="auto"/>
        <w:jc w:val="both"/>
        <w:rPr>
          <w:rFonts w:ascii="Cambria" w:hAnsi="Cambria"/>
          <w:sz w:val="22"/>
          <w:szCs w:val="22"/>
        </w:rPr>
      </w:pPr>
    </w:p>
    <w:p w14:paraId="46E73731" w14:textId="77777777" w:rsidR="00950686" w:rsidRPr="00950686" w:rsidRDefault="00950686" w:rsidP="00950686">
      <w:pPr>
        <w:spacing w:line="360" w:lineRule="auto"/>
        <w:jc w:val="both"/>
        <w:rPr>
          <w:rFonts w:ascii="Cambria" w:hAnsi="Cambria"/>
          <w:sz w:val="22"/>
          <w:szCs w:val="22"/>
        </w:rPr>
      </w:pPr>
      <w:r w:rsidRPr="00950686">
        <w:rPr>
          <w:rFonts w:ascii="Cambria" w:hAnsi="Cambria"/>
          <w:sz w:val="22"/>
          <w:szCs w:val="22"/>
        </w:rPr>
        <w:t xml:space="preserve">deban realizar sus procesos de renovación de estructuras durante ese periodo, de los siguientes órganos y organizaciones sociales: </w:t>
      </w:r>
      <w:r w:rsidRPr="00950686">
        <w:rPr>
          <w:rFonts w:ascii="Cambria" w:hAnsi="Cambria"/>
          <w:i/>
          <w:iCs/>
          <w:sz w:val="22"/>
          <w:szCs w:val="22"/>
        </w:rPr>
        <w:t>«k) Las juntas de gobierno o juntas directivas, así como las fiscalías y cualquier otro órgano de los colegios profesionales, de conformidad con las respectivas leyes por las que se rigen»;</w:t>
      </w:r>
    </w:p>
    <w:p w14:paraId="2F3D3E53" w14:textId="77777777" w:rsidR="00950686" w:rsidRPr="00950686" w:rsidRDefault="00950686" w:rsidP="00950686">
      <w:pPr>
        <w:spacing w:line="360" w:lineRule="auto"/>
        <w:jc w:val="both"/>
        <w:rPr>
          <w:rFonts w:ascii="Cambria" w:hAnsi="Cambria"/>
          <w:b/>
          <w:bCs/>
          <w:sz w:val="22"/>
          <w:szCs w:val="22"/>
        </w:rPr>
      </w:pPr>
      <w:r w:rsidRPr="00950686">
        <w:rPr>
          <w:rFonts w:ascii="Cambria" w:hAnsi="Cambria"/>
          <w:b/>
          <w:bCs/>
          <w:sz w:val="22"/>
          <w:szCs w:val="22"/>
        </w:rPr>
        <w:t>Por tanto, la Junta Directiva y el Tribunal Electoral, acuerdan y comunican a las personas colegiadas:</w:t>
      </w:r>
    </w:p>
    <w:p w14:paraId="5B8CC2BA" w14:textId="77777777" w:rsidR="00950686" w:rsidRPr="00950686" w:rsidRDefault="00950686" w:rsidP="00950686">
      <w:pPr>
        <w:spacing w:line="360" w:lineRule="auto"/>
        <w:jc w:val="both"/>
        <w:rPr>
          <w:rFonts w:ascii="Cambria" w:hAnsi="Cambria"/>
          <w:sz w:val="22"/>
          <w:szCs w:val="22"/>
        </w:rPr>
      </w:pPr>
      <w:r w:rsidRPr="00950686">
        <w:rPr>
          <w:rFonts w:ascii="Cambria" w:hAnsi="Cambria"/>
          <w:b/>
          <w:bCs/>
          <w:sz w:val="22"/>
          <w:szCs w:val="22"/>
        </w:rPr>
        <w:t>Junta Directiva:</w:t>
      </w:r>
      <w:r w:rsidRPr="00950686">
        <w:rPr>
          <w:rFonts w:ascii="Cambria" w:hAnsi="Cambria"/>
          <w:sz w:val="22"/>
          <w:szCs w:val="22"/>
        </w:rPr>
        <w:t xml:space="preserve"> Sesión extraordinaria catorce (14-2020) de la Junta Directiva del Colegio de Profesionales de Orientación celebrada a las diecisiete horas y veinticinco minutos del jueves veinticinco de junio de dos mil veinte: </w:t>
      </w:r>
      <w:r w:rsidRPr="00950686">
        <w:rPr>
          <w:rFonts w:ascii="Cambria" w:hAnsi="Cambria"/>
          <w:i/>
          <w:iCs/>
          <w:sz w:val="22"/>
          <w:szCs w:val="22"/>
        </w:rPr>
        <w:t>«Se acuerda en firme 14.10.22 con seis votos, en atención a lo solicitado por el Tribunal Electoral</w:t>
      </w:r>
      <w:r w:rsidRPr="00950686">
        <w:rPr>
          <w:rFonts w:ascii="Cambria" w:hAnsi="Cambria"/>
          <w:b/>
          <w:bCs/>
          <w:i/>
          <w:iCs/>
          <w:sz w:val="22"/>
          <w:szCs w:val="22"/>
        </w:rPr>
        <w:t>, no convocar a asamblea general ordinaria</w:t>
      </w:r>
      <w:r w:rsidRPr="00950686">
        <w:rPr>
          <w:rFonts w:ascii="Cambria" w:hAnsi="Cambria"/>
          <w:i/>
          <w:iCs/>
          <w:sz w:val="22"/>
          <w:szCs w:val="22"/>
        </w:rPr>
        <w:t xml:space="preserve"> y comunicar al Tribunal Electoral lo acordado, en concordancia con lo permitido por la Ley 9866, artículo uno el cual indica: “Se tienen por prorrogados, hasta por un año adicional, los nombramientos que hayan vencido a partir del 1 de marzo de 2020 y venzan antes del 31 de diciembre de 2020, inclusive, o que deban realizar sus procesos de renovación de estructuras durante ese periodo, de los siguientes órganos y organizaciones sociales”, específicamente en el inciso e) que autoriza esa prorroga a: “(…) colegios profesionales”, otorgando un tiempo prudencial para la revisión de la medida de acuerdo al manejo de la pandemia por COVID-19 que haga el país».</w:t>
      </w:r>
    </w:p>
    <w:p w14:paraId="600607A8" w14:textId="77777777" w:rsidR="009519E6" w:rsidRDefault="00950686" w:rsidP="009519E6">
      <w:pPr>
        <w:spacing w:line="360" w:lineRule="auto"/>
        <w:jc w:val="both"/>
        <w:rPr>
          <w:rFonts w:ascii="Cambria" w:hAnsi="Cambria"/>
          <w:i/>
          <w:iCs/>
          <w:sz w:val="22"/>
          <w:szCs w:val="22"/>
        </w:rPr>
      </w:pPr>
      <w:r w:rsidRPr="00950686">
        <w:rPr>
          <w:rFonts w:ascii="Cambria" w:hAnsi="Cambria"/>
          <w:b/>
          <w:bCs/>
          <w:sz w:val="22"/>
          <w:szCs w:val="22"/>
        </w:rPr>
        <w:t>Tribunal Electoral:</w:t>
      </w:r>
      <w:r w:rsidRPr="00950686">
        <w:rPr>
          <w:rFonts w:ascii="Cambria" w:hAnsi="Cambria"/>
          <w:sz w:val="22"/>
          <w:szCs w:val="22"/>
        </w:rPr>
        <w:t xml:space="preserve"> Sesión Ordinaria celebrada el 7 de julio de 2020 a las 18 horas, artículos cuatro, cinco y seis, se acordó: </w:t>
      </w:r>
      <w:r w:rsidRPr="00950686">
        <w:rPr>
          <w:rFonts w:ascii="Cambria" w:hAnsi="Cambria"/>
          <w:i/>
          <w:iCs/>
          <w:sz w:val="22"/>
          <w:szCs w:val="22"/>
        </w:rPr>
        <w:t xml:space="preserve">«ARTÍCULO CUATRO. Elecciones. En concordancia con el acuerdo tomado por la Junta Directiva y avalado por este Tribunal Electoral, de no realizar la convocatoria a Asamblea General Ordinaria debido a la emergencia ocasionada por la pandemia del COVID-19, se acuerda de forma unánime </w:t>
      </w:r>
      <w:r w:rsidRPr="00950686">
        <w:rPr>
          <w:rFonts w:ascii="Cambria" w:hAnsi="Cambria"/>
          <w:b/>
          <w:bCs/>
          <w:i/>
          <w:iCs/>
          <w:sz w:val="22"/>
          <w:szCs w:val="22"/>
        </w:rPr>
        <w:t>suspender las elecciones que se realizan en la Asamblea General Ordinaria de 2020 de los puestos: 3 propietarios y 2 suplentes del Tribunal de Honor, 5 propietarios y 2 suplentes del Tribunal Electoral y los puestos de Vicepresidencia, Tesorería, Vocalía II de la Junta Directiva y Fiscalía Suplente</w:t>
      </w:r>
      <w:r w:rsidRPr="00950686">
        <w:rPr>
          <w:rFonts w:ascii="Cambria" w:hAnsi="Cambria"/>
          <w:i/>
          <w:iCs/>
          <w:sz w:val="22"/>
          <w:szCs w:val="22"/>
        </w:rPr>
        <w:t xml:space="preserve">. Lo anterior se realiza basados en la Ley 9866, específicamente en el artículo 1 “Se tienen por prorrogados, hasta por un año adicional, los nombramientos que hayan vencido a partir del 1 de marzo de 2020 y venzan antes del 31 de diciembre de 2020, inclusive, o que deban realizar sus procesos de renovación de estructuras durante ese período, de los siguientes órganos y organizaciones </w:t>
      </w:r>
    </w:p>
    <w:p w14:paraId="32B3F10A" w14:textId="77777777" w:rsidR="009519E6" w:rsidRDefault="009519E6" w:rsidP="009519E6">
      <w:pPr>
        <w:spacing w:line="360" w:lineRule="auto"/>
        <w:jc w:val="both"/>
        <w:rPr>
          <w:rFonts w:ascii="Cambria" w:hAnsi="Cambria"/>
          <w:i/>
          <w:iCs/>
          <w:sz w:val="22"/>
          <w:szCs w:val="22"/>
        </w:rPr>
      </w:pPr>
    </w:p>
    <w:p w14:paraId="42174BD6" w14:textId="6260B2B0" w:rsidR="00950686" w:rsidRDefault="00950686" w:rsidP="009519E6">
      <w:pPr>
        <w:spacing w:line="360" w:lineRule="auto"/>
        <w:jc w:val="both"/>
        <w:rPr>
          <w:rFonts w:ascii="Cambria" w:hAnsi="Cambria"/>
          <w:i/>
          <w:iCs/>
          <w:sz w:val="22"/>
          <w:szCs w:val="22"/>
        </w:rPr>
      </w:pPr>
      <w:r w:rsidRPr="00950686">
        <w:rPr>
          <w:rFonts w:ascii="Cambria" w:hAnsi="Cambria"/>
          <w:i/>
          <w:iCs/>
          <w:sz w:val="22"/>
          <w:szCs w:val="22"/>
        </w:rPr>
        <w:t xml:space="preserve">sociales”, específicamente el inciso e, “Las Juntas directivas, los consejos de gobierno o de su órgano de dirección de las federaciones o confederaciones que estuviera integradas por </w:t>
      </w:r>
    </w:p>
    <w:p w14:paraId="12C52AA9" w14:textId="77777777" w:rsidR="00950686" w:rsidRDefault="00950686" w:rsidP="00950686">
      <w:pPr>
        <w:spacing w:line="360" w:lineRule="auto"/>
        <w:jc w:val="both"/>
        <w:rPr>
          <w:rFonts w:ascii="Cambria" w:hAnsi="Cambria"/>
          <w:i/>
          <w:iCs/>
          <w:sz w:val="22"/>
          <w:szCs w:val="22"/>
        </w:rPr>
      </w:pPr>
    </w:p>
    <w:p w14:paraId="310247AC" w14:textId="2C12ED42" w:rsidR="00950686" w:rsidRPr="00950686" w:rsidRDefault="00950686" w:rsidP="00950686">
      <w:pPr>
        <w:spacing w:line="360" w:lineRule="auto"/>
        <w:jc w:val="both"/>
        <w:rPr>
          <w:rFonts w:ascii="Cambria" w:hAnsi="Cambria"/>
          <w:sz w:val="22"/>
          <w:szCs w:val="22"/>
        </w:rPr>
      </w:pPr>
      <w:r w:rsidRPr="00950686">
        <w:rPr>
          <w:rFonts w:ascii="Cambria" w:hAnsi="Cambria"/>
          <w:i/>
          <w:iCs/>
          <w:sz w:val="22"/>
          <w:szCs w:val="22"/>
        </w:rPr>
        <w:t xml:space="preserve">fundaciones, sindicatos, asociaciones de desarrollo, cooperativas, asociaciones solidaristas y colegios profesionales. ARTÍCULO CINCO. Prórroga de nombramientos. De acuerdo a la decisión de suspender las elecciones </w:t>
      </w:r>
      <w:r w:rsidRPr="00950686">
        <w:rPr>
          <w:rFonts w:ascii="Cambria" w:hAnsi="Cambria"/>
          <w:b/>
          <w:bCs/>
          <w:i/>
          <w:iCs/>
          <w:sz w:val="22"/>
          <w:szCs w:val="22"/>
        </w:rPr>
        <w:t xml:space="preserve">se acuerda prorrogar los nombramientos del Tribunal de Honor compuesto por Viviana Cerdas Blanco, Beatriz Aguilar Sánchez, Margarita Alvarado Villalón, José Francisco Castro Sibaja y Yolanda Badilla Artavia, los nombramientos del Tribunal Electoral compuesto por Eduardo Baldares Gómez, </w:t>
      </w:r>
      <w:proofErr w:type="spellStart"/>
      <w:r w:rsidRPr="00950686">
        <w:rPr>
          <w:rFonts w:ascii="Cambria" w:hAnsi="Cambria"/>
          <w:b/>
          <w:bCs/>
          <w:i/>
          <w:iCs/>
          <w:sz w:val="22"/>
          <w:szCs w:val="22"/>
        </w:rPr>
        <w:t>Idaly</w:t>
      </w:r>
      <w:proofErr w:type="spellEnd"/>
      <w:r w:rsidRPr="00950686">
        <w:rPr>
          <w:rFonts w:ascii="Cambria" w:hAnsi="Cambria"/>
          <w:b/>
          <w:bCs/>
          <w:i/>
          <w:iCs/>
          <w:sz w:val="22"/>
          <w:szCs w:val="22"/>
        </w:rPr>
        <w:t xml:space="preserve"> Cascante Herrera, Ana Victoria Garita Pulido, Pablo Sibaja Mojica, Marineé Rodríguez Arroyo, Carlos Ulloa Guzmán y Vanessa González Quesada, los nombramientos de la Junta Directiva los cuales son María Isabel Sánchez Jiménez en la Vicepresidencia, Carmen Frías Quesada en la Tesorería, </w:t>
      </w:r>
      <w:proofErr w:type="spellStart"/>
      <w:r w:rsidRPr="00950686">
        <w:rPr>
          <w:rFonts w:ascii="Cambria" w:hAnsi="Cambria"/>
          <w:b/>
          <w:bCs/>
          <w:i/>
          <w:iCs/>
          <w:sz w:val="22"/>
          <w:szCs w:val="22"/>
        </w:rPr>
        <w:t>Yerlyn</w:t>
      </w:r>
      <w:proofErr w:type="spellEnd"/>
      <w:r w:rsidRPr="00950686">
        <w:rPr>
          <w:rFonts w:ascii="Cambria" w:hAnsi="Cambria"/>
          <w:b/>
          <w:bCs/>
          <w:i/>
          <w:iCs/>
          <w:sz w:val="22"/>
          <w:szCs w:val="22"/>
        </w:rPr>
        <w:t xml:space="preserve"> Castillo Linares en la Vocalía II y nombramientos de Fiscalía, Cynthia Castro García en la Suplencia de la Fiscalía.</w:t>
      </w:r>
      <w:r w:rsidRPr="00950686">
        <w:rPr>
          <w:rFonts w:ascii="Cambria" w:hAnsi="Cambria"/>
          <w:i/>
          <w:iCs/>
          <w:sz w:val="22"/>
          <w:szCs w:val="22"/>
        </w:rPr>
        <w:t xml:space="preserve"> Esta prórroga se acuerda hasta que se presenten las condiciones óptimas para realizar la Asamblea General Ordinaria y durante el plazo anual autorizado por la ley 9866, mismo que vence el día 18 de junio de 2021. ARTICULO SEIS. Se acuerda valorar en un plazo prudencial la situación que vive el país por la pandemia del COVID-19 para analizar si se puede realizar Asamblea General Ordinaria y las elecciones. Se coloca como plazo para la valoración el día 15 de febrero de 2021».</w:t>
      </w:r>
    </w:p>
    <w:p w14:paraId="3F8466C1" w14:textId="4506771E" w:rsidR="00950686" w:rsidRPr="00950686" w:rsidRDefault="00950686" w:rsidP="00950686">
      <w:pPr>
        <w:spacing w:line="360" w:lineRule="auto"/>
        <w:jc w:val="right"/>
        <w:rPr>
          <w:rFonts w:ascii="Cambria" w:hAnsi="Cambria"/>
          <w:sz w:val="22"/>
          <w:szCs w:val="22"/>
        </w:rPr>
      </w:pPr>
      <w:r w:rsidRPr="00950686">
        <w:rPr>
          <w:rFonts w:ascii="Cambria" w:hAnsi="Cambria"/>
          <w:sz w:val="22"/>
          <w:szCs w:val="22"/>
        </w:rPr>
        <w:t xml:space="preserve">San José, </w:t>
      </w:r>
      <w:r w:rsidR="00022A6B">
        <w:rPr>
          <w:rFonts w:ascii="Cambria" w:hAnsi="Cambria"/>
          <w:sz w:val="22"/>
          <w:szCs w:val="22"/>
        </w:rPr>
        <w:t>30</w:t>
      </w:r>
      <w:r w:rsidRPr="00950686">
        <w:rPr>
          <w:rFonts w:ascii="Cambria" w:hAnsi="Cambria"/>
          <w:sz w:val="22"/>
          <w:szCs w:val="22"/>
        </w:rPr>
        <w:t xml:space="preserve"> de julio de 2020.</w:t>
      </w:r>
    </w:p>
    <w:p w14:paraId="5566C8B6" w14:textId="3982F5E7" w:rsidR="00950686" w:rsidRPr="00950686" w:rsidRDefault="009519E6" w:rsidP="00950686">
      <w:pPr>
        <w:spacing w:line="360" w:lineRule="auto"/>
        <w:jc w:val="both"/>
        <w:rPr>
          <w:rFonts w:ascii="Cambria" w:hAnsi="Cambria"/>
          <w:sz w:val="22"/>
          <w:szCs w:val="22"/>
        </w:rPr>
      </w:pPr>
      <w:r>
        <w:rPr>
          <w:rFonts w:ascii="Cambria" w:hAnsi="Cambria"/>
          <w:noProof/>
          <w:sz w:val="22"/>
          <w:szCs w:val="22"/>
          <w:lang w:eastAsia="es-CR"/>
        </w:rPr>
        <w:drawing>
          <wp:anchor distT="0" distB="0" distL="114300" distR="114300" simplePos="0" relativeHeight="251660288" behindDoc="0" locked="0" layoutInCell="1" allowOverlap="1" wp14:anchorId="5BF14B5A" wp14:editId="53EE507D">
            <wp:simplePos x="0" y="0"/>
            <wp:positionH relativeFrom="margin">
              <wp:posOffset>312420</wp:posOffset>
            </wp:positionH>
            <wp:positionV relativeFrom="margin">
              <wp:posOffset>5428615</wp:posOffset>
            </wp:positionV>
            <wp:extent cx="1169670" cy="746760"/>
            <wp:effectExtent l="19050" t="0" r="0" b="0"/>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9670" cy="746760"/>
                    </a:xfrm>
                    <a:prstGeom prst="rect">
                      <a:avLst/>
                    </a:prstGeom>
                    <a:noFill/>
                  </pic:spPr>
                </pic:pic>
              </a:graphicData>
            </a:graphic>
          </wp:anchor>
        </w:drawing>
      </w:r>
      <w:r>
        <w:rPr>
          <w:rFonts w:ascii="Cambria" w:hAnsi="Cambria"/>
          <w:noProof/>
          <w:sz w:val="22"/>
          <w:szCs w:val="22"/>
          <w:lang w:eastAsia="es-CR"/>
        </w:rPr>
        <w:drawing>
          <wp:anchor distT="0" distB="0" distL="114300" distR="114300" simplePos="0" relativeHeight="251659264" behindDoc="0" locked="0" layoutInCell="1" allowOverlap="1" wp14:anchorId="285782C7" wp14:editId="08570115">
            <wp:simplePos x="0" y="0"/>
            <wp:positionH relativeFrom="margin">
              <wp:posOffset>3217545</wp:posOffset>
            </wp:positionH>
            <wp:positionV relativeFrom="margin">
              <wp:posOffset>5360035</wp:posOffset>
            </wp:positionV>
            <wp:extent cx="1642110" cy="815340"/>
            <wp:effectExtent l="19050" t="0" r="0" b="0"/>
            <wp:wrapSquare wrapText="bothSides"/>
            <wp:docPr id="4" name="Imagen 1" descr="C:\Users\CPO\Downloads\IMG-20200729-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O\Downloads\IMG-20200729-WA0044.jpg"/>
                    <pic:cNvPicPr>
                      <a:picLocks noChangeAspect="1" noChangeArrowheads="1"/>
                    </pic:cNvPicPr>
                  </pic:nvPicPr>
                  <pic:blipFill>
                    <a:blip r:embed="rId8" cstate="print">
                      <a:lum contrast="46000"/>
                    </a:blip>
                    <a:srcRect/>
                    <a:stretch>
                      <a:fillRect/>
                    </a:stretch>
                  </pic:blipFill>
                  <pic:spPr bwMode="auto">
                    <a:xfrm>
                      <a:off x="0" y="0"/>
                      <a:ext cx="1642110" cy="815340"/>
                    </a:xfrm>
                    <a:prstGeom prst="rect">
                      <a:avLst/>
                    </a:prstGeom>
                    <a:noFill/>
                    <a:ln w="9525">
                      <a:noFill/>
                      <a:miter lim="800000"/>
                      <a:headEnd/>
                      <a:tailEnd/>
                    </a:ln>
                  </pic:spPr>
                </pic:pic>
              </a:graphicData>
            </a:graphic>
          </wp:anchor>
        </w:drawing>
      </w:r>
      <w:r w:rsidR="00950686" w:rsidRPr="00950686">
        <w:rPr>
          <w:rFonts w:ascii="Cambria" w:hAnsi="Cambria"/>
          <w:sz w:val="22"/>
          <w:szCs w:val="22"/>
        </w:rPr>
        <w:br w:type="textWrapping" w:clear="all"/>
      </w:r>
    </w:p>
    <w:tbl>
      <w:tblPr>
        <w:tblStyle w:val="Tablaconcuadrcula"/>
        <w:tblpPr w:leftFromText="141" w:rightFromText="141" w:vertAnchor="text" w:horzAnchor="margin" w:tblpY="9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50686" w:rsidRPr="00950686" w14:paraId="0A2B00F4" w14:textId="77777777" w:rsidTr="00950686">
        <w:tc>
          <w:tcPr>
            <w:tcW w:w="4414" w:type="dxa"/>
          </w:tcPr>
          <w:p w14:paraId="632EDCB6" w14:textId="10C7678A" w:rsidR="00950686" w:rsidRPr="00950686" w:rsidRDefault="00950686" w:rsidP="00950686">
            <w:pPr>
              <w:spacing w:line="360" w:lineRule="auto"/>
              <w:jc w:val="both"/>
              <w:rPr>
                <w:rFonts w:ascii="Cambria" w:hAnsi="Cambria"/>
                <w:b/>
                <w:bCs/>
              </w:rPr>
            </w:pPr>
            <w:r w:rsidRPr="00950686">
              <w:rPr>
                <w:rFonts w:ascii="Cambria" w:hAnsi="Cambria"/>
                <w:b/>
                <w:bCs/>
              </w:rPr>
              <w:t>German E. González Sandoval</w:t>
            </w:r>
          </w:p>
        </w:tc>
        <w:tc>
          <w:tcPr>
            <w:tcW w:w="4414" w:type="dxa"/>
          </w:tcPr>
          <w:p w14:paraId="17D60FDB" w14:textId="74885D37" w:rsidR="00950686" w:rsidRPr="00950686" w:rsidRDefault="009519E6" w:rsidP="00950686">
            <w:pPr>
              <w:spacing w:line="360" w:lineRule="auto"/>
              <w:jc w:val="both"/>
              <w:rPr>
                <w:rFonts w:ascii="Cambria" w:hAnsi="Cambria"/>
                <w:b/>
                <w:bCs/>
              </w:rPr>
            </w:pPr>
            <w:r>
              <w:rPr>
                <w:rFonts w:ascii="Cambria" w:hAnsi="Cambria"/>
                <w:b/>
                <w:bCs/>
              </w:rPr>
              <w:t xml:space="preserve">     </w:t>
            </w:r>
            <w:r w:rsidR="00950686" w:rsidRPr="00950686">
              <w:rPr>
                <w:rFonts w:ascii="Cambria" w:hAnsi="Cambria"/>
                <w:b/>
                <w:bCs/>
              </w:rPr>
              <w:t>Eduardo Baldares Gómez</w:t>
            </w:r>
          </w:p>
        </w:tc>
      </w:tr>
      <w:tr w:rsidR="00950686" w:rsidRPr="00950686" w14:paraId="7EAF63E7" w14:textId="77777777" w:rsidTr="00950686">
        <w:tc>
          <w:tcPr>
            <w:tcW w:w="4414" w:type="dxa"/>
          </w:tcPr>
          <w:p w14:paraId="2ED0538E" w14:textId="26A29471" w:rsidR="00950686" w:rsidRPr="00950686" w:rsidRDefault="009519E6" w:rsidP="00950686">
            <w:pPr>
              <w:spacing w:line="360" w:lineRule="auto"/>
              <w:jc w:val="both"/>
              <w:rPr>
                <w:rFonts w:ascii="Cambria" w:hAnsi="Cambria"/>
                <w:b/>
                <w:bCs/>
              </w:rPr>
            </w:pPr>
            <w:r>
              <w:rPr>
                <w:rFonts w:ascii="Cambria" w:hAnsi="Cambria"/>
                <w:b/>
                <w:bCs/>
              </w:rPr>
              <w:t xml:space="preserve">  </w:t>
            </w:r>
            <w:r w:rsidR="00950686" w:rsidRPr="00950686">
              <w:rPr>
                <w:rFonts w:ascii="Cambria" w:hAnsi="Cambria"/>
                <w:b/>
                <w:bCs/>
              </w:rPr>
              <w:t>Presidente Junta Directiva</w:t>
            </w:r>
          </w:p>
        </w:tc>
        <w:tc>
          <w:tcPr>
            <w:tcW w:w="4414" w:type="dxa"/>
          </w:tcPr>
          <w:p w14:paraId="092229EF" w14:textId="77777777" w:rsidR="00950686" w:rsidRPr="00950686" w:rsidRDefault="00950686" w:rsidP="00950686">
            <w:pPr>
              <w:spacing w:line="360" w:lineRule="auto"/>
              <w:jc w:val="both"/>
              <w:rPr>
                <w:rFonts w:ascii="Cambria" w:hAnsi="Cambria"/>
                <w:b/>
                <w:bCs/>
              </w:rPr>
            </w:pPr>
            <w:r w:rsidRPr="00950686">
              <w:rPr>
                <w:rFonts w:ascii="Cambria" w:hAnsi="Cambria"/>
                <w:b/>
                <w:bCs/>
              </w:rPr>
              <w:t>Presidente Tribunal Electoral</w:t>
            </w:r>
          </w:p>
        </w:tc>
      </w:tr>
    </w:tbl>
    <w:p w14:paraId="299889F5" w14:textId="3520C825" w:rsidR="00950686" w:rsidRPr="00950686" w:rsidRDefault="00950686" w:rsidP="00950686">
      <w:pPr>
        <w:spacing w:line="360" w:lineRule="auto"/>
        <w:jc w:val="both"/>
        <w:rPr>
          <w:rFonts w:ascii="Cambria" w:hAnsi="Cambria"/>
          <w:sz w:val="22"/>
          <w:szCs w:val="22"/>
        </w:rPr>
      </w:pPr>
    </w:p>
    <w:sectPr w:rsidR="00950686" w:rsidRPr="00950686" w:rsidSect="00BF5D4C">
      <w:headerReference w:type="default" r:id="rId9"/>
      <w:footerReference w:type="default" r:id="rId10"/>
      <w:pgSz w:w="12240" w:h="15840"/>
      <w:pgMar w:top="1023" w:right="1701" w:bottom="141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ED2A1" w14:textId="77777777" w:rsidR="00A871D1" w:rsidRDefault="00A871D1" w:rsidP="001121AB">
      <w:r>
        <w:separator/>
      </w:r>
    </w:p>
  </w:endnote>
  <w:endnote w:type="continuationSeparator" w:id="0">
    <w:p w14:paraId="7AD04D1D" w14:textId="77777777" w:rsidR="00A871D1" w:rsidRDefault="00A871D1" w:rsidP="0011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96019" w14:textId="77777777" w:rsidR="001121AB" w:rsidRDefault="001121AB">
    <w:pPr>
      <w:pStyle w:val="Piedepgina"/>
    </w:pPr>
    <w:r>
      <w:rPr>
        <w:noProof/>
        <w:lang w:eastAsia="es-CR"/>
      </w:rPr>
      <w:drawing>
        <wp:anchor distT="0" distB="0" distL="114300" distR="114300" simplePos="0" relativeHeight="251658240" behindDoc="1" locked="0" layoutInCell="1" allowOverlap="1" wp14:anchorId="583F68B1" wp14:editId="13A03F98">
          <wp:simplePos x="0" y="0"/>
          <wp:positionH relativeFrom="column">
            <wp:posOffset>-1405255</wp:posOffset>
          </wp:positionH>
          <wp:positionV relativeFrom="paragraph">
            <wp:posOffset>-146050</wp:posOffset>
          </wp:positionV>
          <wp:extent cx="8507095" cy="894080"/>
          <wp:effectExtent l="0" t="0" r="1905" b="0"/>
          <wp:wrapTight wrapText="bothSides">
            <wp:wrapPolygon edited="0">
              <wp:start x="0" y="0"/>
              <wp:lineTo x="0" y="21170"/>
              <wp:lineTo x="21573" y="21170"/>
              <wp:lineTo x="2157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rgente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8507095" cy="8940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F3871" w14:textId="77777777" w:rsidR="00A871D1" w:rsidRDefault="00A871D1" w:rsidP="001121AB">
      <w:r>
        <w:separator/>
      </w:r>
    </w:p>
  </w:footnote>
  <w:footnote w:type="continuationSeparator" w:id="0">
    <w:p w14:paraId="2F57B978" w14:textId="77777777" w:rsidR="00A871D1" w:rsidRDefault="00A871D1" w:rsidP="0011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118A5" w14:textId="77777777" w:rsidR="001121AB" w:rsidRDefault="000850C4" w:rsidP="001121AB">
    <w:pPr>
      <w:pStyle w:val="Encabezado"/>
      <w:jc w:val="center"/>
    </w:pPr>
    <w:r>
      <w:rPr>
        <w:noProof/>
        <w:lang w:eastAsia="es-CR"/>
      </w:rPr>
      <w:drawing>
        <wp:anchor distT="0" distB="0" distL="114300" distR="114300" simplePos="0" relativeHeight="251659264" behindDoc="0" locked="0" layoutInCell="1" allowOverlap="1" wp14:anchorId="075F2DF0" wp14:editId="69721292">
          <wp:simplePos x="0" y="0"/>
          <wp:positionH relativeFrom="margin">
            <wp:posOffset>1834515</wp:posOffset>
          </wp:positionH>
          <wp:positionV relativeFrom="margin">
            <wp:posOffset>-916940</wp:posOffset>
          </wp:positionV>
          <wp:extent cx="1992630" cy="1024255"/>
          <wp:effectExtent l="1905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gente-02.png"/>
                  <pic:cNvPicPr/>
                </pic:nvPicPr>
                <pic:blipFill>
                  <a:blip r:embed="rId1">
                    <a:extLst>
                      <a:ext uri="{28A0092B-C50C-407E-A947-70E740481C1C}">
                        <a14:useLocalDpi xmlns:a14="http://schemas.microsoft.com/office/drawing/2010/main" val="0"/>
                      </a:ext>
                    </a:extLst>
                  </a:blip>
                  <a:stretch>
                    <a:fillRect/>
                  </a:stretch>
                </pic:blipFill>
                <pic:spPr>
                  <a:xfrm>
                    <a:off x="0" y="0"/>
                    <a:ext cx="1992630" cy="1024255"/>
                  </a:xfrm>
                  <a:prstGeom prst="rect">
                    <a:avLst/>
                  </a:prstGeom>
                </pic:spPr>
              </pic:pic>
            </a:graphicData>
          </a:graphic>
        </wp:anchor>
      </w:drawing>
    </w:r>
  </w:p>
  <w:p w14:paraId="0C3B4B09" w14:textId="77777777" w:rsidR="001121AB" w:rsidRDefault="001121AB" w:rsidP="001121AB">
    <w:pPr>
      <w:pStyle w:val="Encabezado"/>
      <w:jc w:val="center"/>
    </w:pPr>
  </w:p>
  <w:p w14:paraId="59BA4A9F" w14:textId="05A4FC27" w:rsidR="001121AB" w:rsidRDefault="001121AB">
    <w:pPr>
      <w:pStyle w:val="Encabezado"/>
    </w:pPr>
  </w:p>
  <w:p w14:paraId="256A1852" w14:textId="26B088D5" w:rsidR="009519E6" w:rsidRDefault="009519E6">
    <w:pPr>
      <w:pStyle w:val="Encabezado"/>
    </w:pPr>
  </w:p>
  <w:p w14:paraId="5D7E176A" w14:textId="77777777" w:rsidR="009519E6" w:rsidRDefault="009519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1A"/>
    <w:rsid w:val="00022A6B"/>
    <w:rsid w:val="000850C4"/>
    <w:rsid w:val="001121AB"/>
    <w:rsid w:val="00162AF7"/>
    <w:rsid w:val="002F7243"/>
    <w:rsid w:val="00433ED2"/>
    <w:rsid w:val="0059221A"/>
    <w:rsid w:val="0079089A"/>
    <w:rsid w:val="00950686"/>
    <w:rsid w:val="009519E6"/>
    <w:rsid w:val="00A871D1"/>
    <w:rsid w:val="00BF5D4C"/>
    <w:rsid w:val="00C443D4"/>
    <w:rsid w:val="00C84F14"/>
    <w:rsid w:val="00CB21AB"/>
    <w:rsid w:val="00D10E41"/>
    <w:rsid w:val="00ED4577"/>
    <w:rsid w:val="00F15177"/>
    <w:rsid w:val="00F60C10"/>
    <w:rsid w:val="00F75CE8"/>
    <w:rsid w:val="00F8420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A1CEA"/>
  <w15:docId w15:val="{5EAC108B-7101-445D-88FC-81EE6327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1AB"/>
    <w:pPr>
      <w:tabs>
        <w:tab w:val="center" w:pos="4252"/>
        <w:tab w:val="right" w:pos="8504"/>
      </w:tabs>
    </w:pPr>
  </w:style>
  <w:style w:type="character" w:customStyle="1" w:styleId="EncabezadoCar">
    <w:name w:val="Encabezado Car"/>
    <w:basedOn w:val="Fuentedeprrafopredeter"/>
    <w:link w:val="Encabezado"/>
    <w:uiPriority w:val="99"/>
    <w:rsid w:val="001121AB"/>
  </w:style>
  <w:style w:type="paragraph" w:styleId="Piedepgina">
    <w:name w:val="footer"/>
    <w:basedOn w:val="Normal"/>
    <w:link w:val="PiedepginaCar"/>
    <w:uiPriority w:val="99"/>
    <w:unhideWhenUsed/>
    <w:rsid w:val="001121AB"/>
    <w:pPr>
      <w:tabs>
        <w:tab w:val="center" w:pos="4252"/>
        <w:tab w:val="right" w:pos="8504"/>
      </w:tabs>
    </w:pPr>
  </w:style>
  <w:style w:type="character" w:customStyle="1" w:styleId="PiedepginaCar">
    <w:name w:val="Pie de página Car"/>
    <w:basedOn w:val="Fuentedeprrafopredeter"/>
    <w:link w:val="Piedepgina"/>
    <w:uiPriority w:val="99"/>
    <w:rsid w:val="001121AB"/>
  </w:style>
  <w:style w:type="paragraph" w:styleId="Textodeglobo">
    <w:name w:val="Balloon Text"/>
    <w:basedOn w:val="Normal"/>
    <w:link w:val="TextodegloboCar"/>
    <w:uiPriority w:val="99"/>
    <w:semiHidden/>
    <w:unhideWhenUsed/>
    <w:rsid w:val="000850C4"/>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0C4"/>
    <w:rPr>
      <w:rFonts w:ascii="Tahoma" w:hAnsi="Tahoma" w:cs="Tahoma"/>
      <w:sz w:val="16"/>
      <w:szCs w:val="16"/>
    </w:rPr>
  </w:style>
  <w:style w:type="table" w:styleId="Tablaconcuadrcula">
    <w:name w:val="Table Grid"/>
    <w:basedOn w:val="Tablanormal"/>
    <w:uiPriority w:val="39"/>
    <w:rsid w:val="009506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7D6F-3C11-416A-A629-3FE75981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993</Words>
  <Characters>5465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produccion@torrefuertecr.com</dc:creator>
  <cp:lastModifiedBy>Ana Patricia Ruh Mesén</cp:lastModifiedBy>
  <cp:revision>3</cp:revision>
  <cp:lastPrinted>2020-06-11T23:57:00Z</cp:lastPrinted>
  <dcterms:created xsi:type="dcterms:W3CDTF">2020-07-30T15:10:00Z</dcterms:created>
  <dcterms:modified xsi:type="dcterms:W3CDTF">2020-07-30T15:12:00Z</dcterms:modified>
</cp:coreProperties>
</file>