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ABE" w:rsidRPr="001B1ABE" w:rsidRDefault="001B1ABE" w:rsidP="00BA098A">
      <w:pPr>
        <w:shd w:val="clear" w:color="auto" w:fill="FFFFFF"/>
        <w:spacing w:after="0" w:line="240" w:lineRule="auto"/>
        <w:ind w:left="708" w:firstLine="708"/>
        <w:jc w:val="center"/>
        <w:rPr>
          <w:rFonts w:ascii="Arial" w:eastAsia="Times New Roman" w:hAnsi="Arial" w:cs="Arial"/>
          <w:color w:val="222222"/>
          <w:sz w:val="24"/>
          <w:szCs w:val="24"/>
          <w:lang w:eastAsia="es-CR"/>
        </w:rPr>
      </w:pPr>
      <w:r w:rsidRPr="001B1ABE">
        <w:rPr>
          <w:rFonts w:ascii="Arial" w:eastAsia="Times New Roman" w:hAnsi="Arial" w:cs="Arial"/>
          <w:b/>
          <w:bCs/>
          <w:i/>
          <w:iCs/>
          <w:color w:val="222222"/>
          <w:sz w:val="32"/>
          <w:szCs w:val="32"/>
          <w:u w:val="single"/>
          <w:lang w:eastAsia="es-CR"/>
        </w:rPr>
        <w:t>Aclaraciones generales para el reconocimiento de Dedicación Exclusiva</w:t>
      </w:r>
    </w:p>
    <w:p w:rsidR="001B1ABE" w:rsidRPr="001B1ABE" w:rsidRDefault="001B1ABE" w:rsidP="001B1ABE">
      <w:pPr>
        <w:shd w:val="clear" w:color="auto" w:fill="FFFFFF"/>
        <w:spacing w:before="100" w:beforeAutospacing="1" w:line="205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es-CR"/>
        </w:rPr>
      </w:pPr>
      <w:r w:rsidRPr="001B1ABE">
        <w:rPr>
          <w:rFonts w:ascii="Arial" w:eastAsia="Times New Roman" w:hAnsi="Arial" w:cs="Arial"/>
          <w:color w:val="222222"/>
          <w:lang w:eastAsia="es-CR"/>
        </w:rPr>
        <w:t> </w:t>
      </w:r>
    </w:p>
    <w:p w:rsidR="001B1ABE" w:rsidRPr="001B1ABE" w:rsidRDefault="001B1ABE" w:rsidP="001B1ABE">
      <w:pPr>
        <w:shd w:val="clear" w:color="auto" w:fill="FFFFFF"/>
        <w:spacing w:before="100" w:beforeAutospacing="1" w:line="205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es-CR"/>
        </w:rPr>
      </w:pPr>
      <w:r w:rsidRPr="001B1ABE">
        <w:rPr>
          <w:rFonts w:ascii="Arial" w:eastAsia="Times New Roman" w:hAnsi="Arial" w:cs="Arial"/>
          <w:color w:val="222222"/>
          <w:lang w:eastAsia="es-CR"/>
        </w:rPr>
        <w:t>Es importante recordar los parámetros a considerar para el reconocimiento de los porcentajes de la Dedicación Exclusiva, mismos que se indicaron mediante comunicado de Prensa, emitido el 15 de junio del presente, el cual a la letra indica:</w:t>
      </w:r>
    </w:p>
    <w:p w:rsidR="001B1ABE" w:rsidRPr="001B1ABE" w:rsidRDefault="001B1ABE" w:rsidP="001B1AB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CR"/>
        </w:rPr>
      </w:pPr>
      <w:r w:rsidRPr="001B1ABE">
        <w:rPr>
          <w:rFonts w:ascii="Arial" w:eastAsia="Times New Roman" w:hAnsi="Arial" w:cs="Arial"/>
          <w:color w:val="222222"/>
          <w:lang w:eastAsia="es-CR"/>
        </w:rPr>
        <w:t> </w:t>
      </w:r>
    </w:p>
    <w:p w:rsidR="001B1ABE" w:rsidRPr="001B1ABE" w:rsidRDefault="001B1ABE" w:rsidP="001B1AB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CR"/>
        </w:rPr>
      </w:pPr>
      <w:r w:rsidRPr="001B1ABE">
        <w:rPr>
          <w:rFonts w:ascii="Arial" w:eastAsia="Times New Roman" w:hAnsi="Arial" w:cs="Arial"/>
          <w:color w:val="222222"/>
          <w:lang w:eastAsia="es-CR"/>
        </w:rPr>
        <w:t>“</w:t>
      </w:r>
      <w:r w:rsidRPr="001B1ABE">
        <w:rPr>
          <w:rFonts w:ascii="Arial" w:eastAsia="Times New Roman" w:hAnsi="Arial" w:cs="Arial"/>
          <w:i/>
          <w:iCs/>
          <w:color w:val="222222"/>
          <w:lang w:eastAsia="es-CR"/>
        </w:rPr>
        <w:t>Que por disposición expresa del artículo 2 de la Ley 9655' y sus Reglamentos'', así como de la </w:t>
      </w:r>
      <w:r w:rsidRPr="001B1ABE">
        <w:rPr>
          <w:rFonts w:ascii="Arial" w:eastAsia="Times New Roman" w:hAnsi="Arial" w:cs="Arial"/>
          <w:b/>
          <w:bCs/>
          <w:i/>
          <w:iCs/>
          <w:color w:val="222222"/>
          <w:lang w:eastAsia="es-CR"/>
        </w:rPr>
        <w:t> Resolución DG-127-2019</w:t>
      </w:r>
      <w:r w:rsidRPr="001B1ABE">
        <w:rPr>
          <w:rFonts w:ascii="Arial" w:eastAsia="Times New Roman" w:hAnsi="Arial" w:cs="Arial"/>
          <w:i/>
          <w:iCs/>
          <w:color w:val="222222"/>
          <w:lang w:eastAsia="es-CR"/>
        </w:rPr>
        <w:t> de 28 de junio de 2019 emitida por la Dirección General de Servicio Civil, mediante las cuales se interpreta de manera auténtica el Transitorio XXVIII de la Ley 9635, </w:t>
      </w:r>
      <w:r w:rsidRPr="001B1ABE">
        <w:rPr>
          <w:rFonts w:ascii="Arial" w:eastAsia="Times New Roman" w:hAnsi="Arial" w:cs="Arial"/>
          <w:b/>
          <w:bCs/>
          <w:i/>
          <w:iCs/>
          <w:color w:val="222222"/>
          <w:lang w:eastAsia="es-CR"/>
        </w:rPr>
        <w:t>“Ley de Fortalecimiento de las Finanzas Públicas''‘</w:t>
      </w:r>
      <w:r w:rsidRPr="001B1ABE">
        <w:rPr>
          <w:rFonts w:ascii="Arial" w:eastAsia="Times New Roman" w:hAnsi="Arial" w:cs="Arial"/>
          <w:i/>
          <w:iCs/>
          <w:color w:val="222222"/>
          <w:lang w:eastAsia="es-CR"/>
        </w:rPr>
        <w:t>, donde se define que a todas las y los servidores del Ministerio de Educación Pública que cumplan con los requisitos </w:t>
      </w:r>
      <w:r w:rsidRPr="001B1ABE">
        <w:rPr>
          <w:rFonts w:ascii="Arial" w:eastAsia="Times New Roman" w:hAnsi="Arial" w:cs="Arial"/>
          <w:b/>
          <w:bCs/>
          <w:i/>
          <w:iCs/>
          <w:color w:val="222222"/>
          <w:u w:val="single"/>
          <w:lang w:eastAsia="es-CR"/>
        </w:rPr>
        <w:t>para asumir un cargo en ascenso en carrera administrativa</w:t>
      </w:r>
      <w:r w:rsidRPr="001B1ABE">
        <w:rPr>
          <w:rFonts w:ascii="Arial" w:eastAsia="Times New Roman" w:hAnsi="Arial" w:cs="Arial"/>
          <w:b/>
          <w:bCs/>
          <w:i/>
          <w:iCs/>
          <w:color w:val="222222"/>
          <w:lang w:eastAsia="es-CR"/>
        </w:rPr>
        <w:t> </w:t>
      </w:r>
      <w:r w:rsidRPr="001B1ABE">
        <w:rPr>
          <w:rFonts w:ascii="Arial" w:eastAsia="Times New Roman" w:hAnsi="Arial" w:cs="Arial"/>
          <w:i/>
          <w:iCs/>
          <w:color w:val="222222"/>
          <w:lang w:eastAsia="es-CR"/>
        </w:rPr>
        <w:t>se les estarán reconociendo –por concepto de Dedicación Exclusiva– los porcentajes del 20% para el grado académico de Bachiller universitario, y del 55% para Licenciatura o grado superior.</w:t>
      </w:r>
    </w:p>
    <w:p w:rsidR="001B1ABE" w:rsidRPr="001B1ABE" w:rsidRDefault="001B1ABE" w:rsidP="001B1AB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CR"/>
        </w:rPr>
      </w:pPr>
      <w:r w:rsidRPr="001B1ABE">
        <w:rPr>
          <w:rFonts w:ascii="Arial" w:eastAsia="Times New Roman" w:hAnsi="Arial" w:cs="Arial"/>
          <w:i/>
          <w:iCs/>
          <w:color w:val="222222"/>
          <w:lang w:eastAsia="es-CR"/>
        </w:rPr>
        <w:t> </w:t>
      </w:r>
    </w:p>
    <w:p w:rsidR="001B1ABE" w:rsidRPr="001B1ABE" w:rsidRDefault="001B1ABE" w:rsidP="001B1AB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CR"/>
        </w:rPr>
      </w:pPr>
      <w:r w:rsidRPr="001B1ABE">
        <w:rPr>
          <w:rFonts w:ascii="Arial" w:eastAsia="Times New Roman" w:hAnsi="Arial" w:cs="Arial"/>
          <w:b/>
          <w:bCs/>
          <w:i/>
          <w:iCs/>
          <w:color w:val="222222"/>
          <w:u w:val="single"/>
          <w:lang w:eastAsia="es-CR"/>
        </w:rPr>
        <w:t>POR TANTO:</w:t>
      </w:r>
    </w:p>
    <w:p w:rsidR="001B1ABE" w:rsidRPr="001B1ABE" w:rsidRDefault="001B1ABE" w:rsidP="001B1AB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CR"/>
        </w:rPr>
      </w:pPr>
      <w:r w:rsidRPr="001B1ABE">
        <w:rPr>
          <w:rFonts w:ascii="Arial" w:eastAsia="Times New Roman" w:hAnsi="Arial" w:cs="Arial"/>
          <w:i/>
          <w:iCs/>
          <w:color w:val="222222"/>
          <w:lang w:eastAsia="es-CR"/>
        </w:rPr>
        <w:t> </w:t>
      </w:r>
    </w:p>
    <w:p w:rsidR="001B1ABE" w:rsidRPr="001B1ABE" w:rsidRDefault="001B1ABE" w:rsidP="001B1ABE">
      <w:pPr>
        <w:shd w:val="clear" w:color="auto" w:fill="FFFFFF"/>
        <w:spacing w:before="100" w:beforeAutospacing="1" w:after="100" w:afterAutospacing="1" w:line="240" w:lineRule="auto"/>
        <w:ind w:left="1080"/>
        <w:jc w:val="both"/>
        <w:rPr>
          <w:rFonts w:ascii="Arial" w:eastAsia="Times New Roman" w:hAnsi="Arial" w:cs="Arial"/>
          <w:color w:val="222222"/>
          <w:sz w:val="24"/>
          <w:szCs w:val="24"/>
          <w:lang w:eastAsia="es-CR"/>
        </w:rPr>
      </w:pPr>
      <w:r w:rsidRPr="001B1ABE">
        <w:rPr>
          <w:rFonts w:ascii="Arial" w:eastAsia="Times New Roman" w:hAnsi="Arial" w:cs="Arial"/>
          <w:i/>
          <w:iCs/>
          <w:color w:val="222222"/>
          <w:lang w:eastAsia="es-CR"/>
        </w:rPr>
        <w:t>1.</w:t>
      </w:r>
      <w:r w:rsidRPr="001B1ABE">
        <w:rPr>
          <w:rFonts w:ascii="Times New Roman" w:eastAsia="Times New Roman" w:hAnsi="Times New Roman" w:cs="Times New Roman"/>
          <w:i/>
          <w:iCs/>
          <w:color w:val="222222"/>
          <w:sz w:val="14"/>
          <w:szCs w:val="14"/>
          <w:lang w:eastAsia="es-CR"/>
        </w:rPr>
        <w:t>    </w:t>
      </w:r>
      <w:r w:rsidRPr="001B1ABE">
        <w:rPr>
          <w:rFonts w:ascii="Arial" w:eastAsia="Times New Roman" w:hAnsi="Arial" w:cs="Arial"/>
          <w:i/>
          <w:iCs/>
          <w:color w:val="222222"/>
          <w:lang w:eastAsia="es-CR"/>
        </w:rPr>
        <w:t>A partir del presente comunicado, a todo servidor a quien se le apruebe un </w:t>
      </w:r>
      <w:r w:rsidRPr="001B1ABE">
        <w:rPr>
          <w:rFonts w:ascii="Arial" w:eastAsia="Times New Roman" w:hAnsi="Arial" w:cs="Arial"/>
          <w:b/>
          <w:bCs/>
          <w:i/>
          <w:iCs/>
          <w:color w:val="222222"/>
          <w:lang w:eastAsia="es-CR"/>
        </w:rPr>
        <w:t>Ascenso –Interino o en Propiedad dentro de la institución– </w:t>
      </w:r>
      <w:r w:rsidRPr="001B1ABE">
        <w:rPr>
          <w:rFonts w:ascii="Arial" w:eastAsia="Times New Roman" w:hAnsi="Arial" w:cs="Arial"/>
          <w:i/>
          <w:iCs/>
          <w:color w:val="222222"/>
          <w:lang w:eastAsia="es-CR"/>
        </w:rPr>
        <w:t xml:space="preserve">y requiera suscribir Contrato, Prórroga o </w:t>
      </w:r>
      <w:proofErr w:type="spellStart"/>
      <w:r w:rsidRPr="001B1ABE">
        <w:rPr>
          <w:rFonts w:ascii="Arial" w:eastAsia="Times New Roman" w:hAnsi="Arial" w:cs="Arial"/>
          <w:i/>
          <w:iCs/>
          <w:color w:val="222222"/>
          <w:lang w:eastAsia="es-CR"/>
        </w:rPr>
        <w:t>Adendum</w:t>
      </w:r>
      <w:proofErr w:type="spellEnd"/>
      <w:r w:rsidRPr="001B1ABE">
        <w:rPr>
          <w:rFonts w:ascii="Arial" w:eastAsia="Times New Roman" w:hAnsi="Arial" w:cs="Arial"/>
          <w:i/>
          <w:iCs/>
          <w:color w:val="222222"/>
          <w:lang w:eastAsia="es-CR"/>
        </w:rPr>
        <w:t xml:space="preserve"> de Dedicación Exclusiva, la misma se le tramitará con los porcentajes antes indicados.</w:t>
      </w:r>
    </w:p>
    <w:p w:rsidR="001B1ABE" w:rsidRPr="001B1ABE" w:rsidRDefault="001B1ABE" w:rsidP="001B1ABE">
      <w:pPr>
        <w:shd w:val="clear" w:color="auto" w:fill="FFFFFF"/>
        <w:spacing w:before="100" w:beforeAutospacing="1" w:after="100" w:afterAutospacing="1" w:line="240" w:lineRule="auto"/>
        <w:ind w:left="1080"/>
        <w:jc w:val="both"/>
        <w:rPr>
          <w:rFonts w:ascii="Arial" w:eastAsia="Times New Roman" w:hAnsi="Arial" w:cs="Arial"/>
          <w:color w:val="222222"/>
          <w:sz w:val="24"/>
          <w:szCs w:val="24"/>
          <w:lang w:eastAsia="es-CR"/>
        </w:rPr>
      </w:pPr>
      <w:r w:rsidRPr="001B1ABE">
        <w:rPr>
          <w:rFonts w:ascii="Arial" w:eastAsia="Times New Roman" w:hAnsi="Arial" w:cs="Arial"/>
          <w:i/>
          <w:iCs/>
          <w:color w:val="222222"/>
          <w:lang w:eastAsia="es-CR"/>
        </w:rPr>
        <w:t> </w:t>
      </w:r>
    </w:p>
    <w:p w:rsidR="001B1ABE" w:rsidRPr="001B1ABE" w:rsidRDefault="001B1ABE" w:rsidP="001B1ABE">
      <w:pPr>
        <w:shd w:val="clear" w:color="auto" w:fill="FFFFFF"/>
        <w:spacing w:before="100" w:beforeAutospacing="1" w:after="100" w:afterAutospacing="1" w:line="240" w:lineRule="auto"/>
        <w:ind w:left="1080"/>
        <w:jc w:val="both"/>
        <w:rPr>
          <w:rFonts w:ascii="Arial" w:eastAsia="Times New Roman" w:hAnsi="Arial" w:cs="Arial"/>
          <w:color w:val="222222"/>
          <w:sz w:val="24"/>
          <w:szCs w:val="24"/>
          <w:lang w:eastAsia="es-CR"/>
        </w:rPr>
      </w:pPr>
      <w:r w:rsidRPr="001B1ABE">
        <w:rPr>
          <w:rFonts w:ascii="Arial" w:eastAsia="Times New Roman" w:hAnsi="Arial" w:cs="Arial"/>
          <w:i/>
          <w:iCs/>
          <w:color w:val="222222"/>
          <w:lang w:eastAsia="es-CR"/>
        </w:rPr>
        <w:t>2.</w:t>
      </w:r>
      <w:r w:rsidRPr="001B1ABE">
        <w:rPr>
          <w:rFonts w:ascii="Times New Roman" w:eastAsia="Times New Roman" w:hAnsi="Times New Roman" w:cs="Times New Roman"/>
          <w:i/>
          <w:iCs/>
          <w:color w:val="222222"/>
          <w:sz w:val="14"/>
          <w:szCs w:val="14"/>
          <w:lang w:eastAsia="es-CR"/>
        </w:rPr>
        <w:t>    </w:t>
      </w:r>
      <w:r w:rsidRPr="001B1ABE">
        <w:rPr>
          <w:rFonts w:ascii="Arial" w:eastAsia="Times New Roman" w:hAnsi="Arial" w:cs="Arial"/>
          <w:i/>
          <w:iCs/>
          <w:color w:val="222222"/>
          <w:lang w:eastAsia="es-CR"/>
        </w:rPr>
        <w:t>A aquellos funcionarios a quienes se les tramitó un Ascenso –Interino o en Propiedad–  con fecha igual o posterior a la publicación de la </w:t>
      </w:r>
      <w:r w:rsidRPr="001B1ABE">
        <w:rPr>
          <w:rFonts w:ascii="Arial" w:eastAsia="Times New Roman" w:hAnsi="Arial" w:cs="Arial"/>
          <w:b/>
          <w:bCs/>
          <w:i/>
          <w:iCs/>
          <w:color w:val="222222"/>
          <w:lang w:eastAsia="es-CR"/>
        </w:rPr>
        <w:t>Ley N° 9635</w:t>
      </w:r>
      <w:r w:rsidRPr="001B1ABE">
        <w:rPr>
          <w:rFonts w:ascii="Arial" w:eastAsia="Times New Roman" w:hAnsi="Arial" w:cs="Arial"/>
          <w:i/>
          <w:iCs/>
          <w:color w:val="222222"/>
          <w:lang w:eastAsia="es-CR"/>
        </w:rPr>
        <w:t> </w:t>
      </w:r>
      <w:r w:rsidRPr="001B1ABE">
        <w:rPr>
          <w:rFonts w:ascii="Arial" w:eastAsia="Times New Roman" w:hAnsi="Arial" w:cs="Arial"/>
          <w:b/>
          <w:bCs/>
          <w:i/>
          <w:iCs/>
          <w:color w:val="222222"/>
          <w:lang w:eastAsia="es-CR"/>
        </w:rPr>
        <w:t>(4 de diciembre de 2018) </w:t>
      </w:r>
      <w:r w:rsidRPr="001B1ABE">
        <w:rPr>
          <w:rFonts w:ascii="Arial" w:eastAsia="Times New Roman" w:hAnsi="Arial" w:cs="Arial"/>
          <w:i/>
          <w:iCs/>
          <w:color w:val="222222"/>
          <w:lang w:eastAsia="es-CR"/>
        </w:rPr>
        <w:t>y suscribieron Contrato con los porcentajes del </w:t>
      </w:r>
      <w:r w:rsidRPr="001B1ABE">
        <w:rPr>
          <w:rFonts w:ascii="Arial" w:eastAsia="Times New Roman" w:hAnsi="Arial" w:cs="Arial"/>
          <w:b/>
          <w:bCs/>
          <w:i/>
          <w:iCs/>
          <w:color w:val="222222"/>
          <w:lang w:eastAsia="es-CR"/>
        </w:rPr>
        <w:t>10%</w:t>
      </w:r>
      <w:r w:rsidRPr="001B1ABE">
        <w:rPr>
          <w:rFonts w:ascii="Arial" w:eastAsia="Times New Roman" w:hAnsi="Arial" w:cs="Arial"/>
          <w:i/>
          <w:iCs/>
          <w:color w:val="222222"/>
          <w:lang w:eastAsia="es-CR"/>
        </w:rPr>
        <w:t> para el grado académico de Bachiller universitario, y del </w:t>
      </w:r>
      <w:r w:rsidRPr="001B1ABE">
        <w:rPr>
          <w:rFonts w:ascii="Arial" w:eastAsia="Times New Roman" w:hAnsi="Arial" w:cs="Arial"/>
          <w:b/>
          <w:bCs/>
          <w:i/>
          <w:iCs/>
          <w:color w:val="222222"/>
          <w:lang w:eastAsia="es-CR"/>
        </w:rPr>
        <w:t>25%</w:t>
      </w:r>
      <w:r w:rsidRPr="001B1ABE">
        <w:rPr>
          <w:rFonts w:ascii="Arial" w:eastAsia="Times New Roman" w:hAnsi="Arial" w:cs="Arial"/>
          <w:i/>
          <w:iCs/>
          <w:color w:val="222222"/>
          <w:lang w:eastAsia="es-CR"/>
        </w:rPr>
        <w:t> para Licenciatura o grado superior, se les estará </w:t>
      </w:r>
      <w:r w:rsidRPr="001B1ABE">
        <w:rPr>
          <w:rFonts w:ascii="Arial" w:eastAsia="Times New Roman" w:hAnsi="Arial" w:cs="Arial"/>
          <w:b/>
          <w:bCs/>
          <w:i/>
          <w:iCs/>
          <w:color w:val="222222"/>
          <w:u w:val="single"/>
          <w:lang w:eastAsia="es-CR"/>
        </w:rPr>
        <w:t>convocando vía correo electrónico</w:t>
      </w:r>
      <w:r w:rsidRPr="001B1ABE">
        <w:rPr>
          <w:rFonts w:ascii="Arial" w:eastAsia="Times New Roman" w:hAnsi="Arial" w:cs="Arial"/>
          <w:i/>
          <w:iCs/>
          <w:color w:val="222222"/>
          <w:lang w:eastAsia="es-CR"/>
        </w:rPr>
        <w:t xml:space="preserve"> a efecto de que suscriban un </w:t>
      </w:r>
      <w:proofErr w:type="spellStart"/>
      <w:r w:rsidRPr="001B1ABE">
        <w:rPr>
          <w:rFonts w:ascii="Arial" w:eastAsia="Times New Roman" w:hAnsi="Arial" w:cs="Arial"/>
          <w:i/>
          <w:iCs/>
          <w:color w:val="222222"/>
          <w:lang w:eastAsia="es-CR"/>
        </w:rPr>
        <w:t>Adendum</w:t>
      </w:r>
      <w:proofErr w:type="spellEnd"/>
      <w:r w:rsidRPr="001B1ABE">
        <w:rPr>
          <w:rFonts w:ascii="Arial" w:eastAsia="Times New Roman" w:hAnsi="Arial" w:cs="Arial"/>
          <w:i/>
          <w:iCs/>
          <w:color w:val="222222"/>
          <w:lang w:eastAsia="es-CR"/>
        </w:rPr>
        <w:t>, según corresponda</w:t>
      </w:r>
      <w:r w:rsidRPr="001B1ABE">
        <w:rPr>
          <w:rFonts w:ascii="Arial" w:eastAsia="Times New Roman" w:hAnsi="Arial" w:cs="Arial"/>
          <w:b/>
          <w:bCs/>
          <w:i/>
          <w:iCs/>
          <w:color w:val="222222"/>
          <w:lang w:eastAsia="es-CR"/>
        </w:rPr>
        <w:t>.</w:t>
      </w:r>
      <w:r w:rsidRPr="001B1ABE">
        <w:rPr>
          <w:rFonts w:ascii="Arial" w:eastAsia="Times New Roman" w:hAnsi="Arial" w:cs="Arial"/>
          <w:i/>
          <w:iCs/>
          <w:color w:val="222222"/>
          <w:lang w:eastAsia="es-CR"/>
        </w:rPr>
        <w:t>   </w:t>
      </w:r>
      <w:r w:rsidRPr="001B1ABE">
        <w:rPr>
          <w:rFonts w:ascii="Arial" w:eastAsia="Times New Roman" w:hAnsi="Arial" w:cs="Arial"/>
          <w:b/>
          <w:bCs/>
          <w:i/>
          <w:iCs/>
          <w:color w:val="222222"/>
          <w:lang w:eastAsia="es-CR"/>
        </w:rPr>
        <w:t>Para atender toda consulta, la Dirección Recursos Humanos ha habilitado el correo electrónico: </w:t>
      </w:r>
      <w:hyperlink r:id="rId5" w:tgtFrame="_blank" w:history="1">
        <w:r w:rsidRPr="001B1ABE">
          <w:rPr>
            <w:rFonts w:ascii="Arial" w:eastAsia="Times New Roman" w:hAnsi="Arial" w:cs="Arial"/>
            <w:b/>
            <w:bCs/>
            <w:i/>
            <w:iCs/>
            <w:u w:val="single"/>
            <w:lang w:eastAsia="es-CR"/>
          </w:rPr>
          <w:t>consulta.ley9655@mep.go.cr</w:t>
        </w:r>
      </w:hyperlink>
    </w:p>
    <w:p w:rsidR="001B1ABE" w:rsidRPr="001B1ABE" w:rsidRDefault="001B1ABE" w:rsidP="001B1A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R"/>
        </w:rPr>
      </w:pPr>
      <w:r w:rsidRPr="001B1ABE">
        <w:rPr>
          <w:rFonts w:ascii="Arial" w:eastAsia="Times New Roman" w:hAnsi="Arial" w:cs="Arial"/>
          <w:color w:val="222222"/>
          <w:lang w:eastAsia="es-CR"/>
        </w:rPr>
        <w:t> </w:t>
      </w:r>
    </w:p>
    <w:p w:rsidR="001B1ABE" w:rsidRPr="001B1ABE" w:rsidRDefault="001B1ABE" w:rsidP="001B1A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R"/>
        </w:rPr>
      </w:pPr>
      <w:r w:rsidRPr="001B1ABE">
        <w:rPr>
          <w:rFonts w:ascii="Arial" w:eastAsia="Times New Roman" w:hAnsi="Arial" w:cs="Arial"/>
          <w:color w:val="222222"/>
          <w:lang w:eastAsia="es-CR"/>
        </w:rPr>
        <w:t> </w:t>
      </w:r>
    </w:p>
    <w:p w:rsidR="001B1ABE" w:rsidRPr="001B1ABE" w:rsidRDefault="001B1ABE" w:rsidP="001B1A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R"/>
        </w:rPr>
      </w:pPr>
      <w:r w:rsidRPr="001B1ABE">
        <w:rPr>
          <w:rFonts w:ascii="Arial" w:eastAsia="Times New Roman" w:hAnsi="Arial" w:cs="Arial"/>
          <w:color w:val="222222"/>
          <w:lang w:eastAsia="es-CR"/>
        </w:rPr>
        <w:t> </w:t>
      </w:r>
    </w:p>
    <w:p w:rsidR="001B1ABE" w:rsidRPr="001B1ABE" w:rsidRDefault="001B1ABE" w:rsidP="001B1ABE">
      <w:pPr>
        <w:shd w:val="clear" w:color="auto" w:fill="FFFFFF"/>
        <w:spacing w:after="0" w:line="240" w:lineRule="auto"/>
        <w:ind w:left="708" w:firstLine="708"/>
        <w:rPr>
          <w:rFonts w:ascii="Arial" w:eastAsia="Times New Roman" w:hAnsi="Arial" w:cs="Arial"/>
          <w:color w:val="222222"/>
          <w:sz w:val="24"/>
          <w:szCs w:val="24"/>
          <w:lang w:eastAsia="es-CR"/>
        </w:rPr>
      </w:pPr>
      <w:r w:rsidRPr="001B1ABE">
        <w:rPr>
          <w:rFonts w:ascii="Arial" w:eastAsia="Times New Roman" w:hAnsi="Arial" w:cs="Arial"/>
          <w:b/>
          <w:bCs/>
          <w:i/>
          <w:iCs/>
          <w:color w:val="222222"/>
          <w:sz w:val="32"/>
          <w:szCs w:val="32"/>
          <w:u w:val="single"/>
          <w:lang w:eastAsia="es-CR"/>
        </w:rPr>
        <w:t>Aclaración sobre el tema cambio de grado académico para reconocimiento de Dedicación Exclusiva</w:t>
      </w:r>
    </w:p>
    <w:p w:rsidR="001B1ABE" w:rsidRPr="001B1ABE" w:rsidRDefault="001B1ABE" w:rsidP="001B1A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R"/>
        </w:rPr>
      </w:pPr>
      <w:r w:rsidRPr="001B1ABE">
        <w:rPr>
          <w:rFonts w:ascii="Arial" w:eastAsia="Times New Roman" w:hAnsi="Arial" w:cs="Arial"/>
          <w:color w:val="222222"/>
          <w:lang w:eastAsia="es-CR"/>
        </w:rPr>
        <w:t> </w:t>
      </w:r>
    </w:p>
    <w:p w:rsidR="001B1ABE" w:rsidRPr="001B1ABE" w:rsidRDefault="001B1ABE" w:rsidP="001B1A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R"/>
        </w:rPr>
      </w:pPr>
      <w:r w:rsidRPr="001B1ABE">
        <w:rPr>
          <w:rFonts w:ascii="Arial" w:eastAsia="Times New Roman" w:hAnsi="Arial" w:cs="Arial"/>
          <w:color w:val="222222"/>
          <w:lang w:eastAsia="es-CR"/>
        </w:rPr>
        <w:t xml:space="preserve">Dados los nuevos lineamientos establecidos mediante el Decreto Ejecutivo N° 41904-MIDEPLAN-H-2019, cuarto Reglamento a la Ley N° 9635 “Ley de Fortalecimiento de las </w:t>
      </w:r>
      <w:r w:rsidRPr="001B1ABE">
        <w:rPr>
          <w:rFonts w:ascii="Arial" w:eastAsia="Times New Roman" w:hAnsi="Arial" w:cs="Arial"/>
          <w:color w:val="222222"/>
          <w:lang w:eastAsia="es-CR"/>
        </w:rPr>
        <w:lastRenderedPageBreak/>
        <w:t>Finanzas Públicas”, publicado en la Gaceta N° 152 el 14 de agosto del 2019, el cual en cuanto al tema de la Dedicación Exclusiva resuelve en su artículo 1:</w:t>
      </w:r>
    </w:p>
    <w:p w:rsidR="001B1ABE" w:rsidRPr="001B1ABE" w:rsidRDefault="001B1ABE" w:rsidP="001B1A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R"/>
        </w:rPr>
      </w:pPr>
      <w:r w:rsidRPr="001B1ABE">
        <w:rPr>
          <w:rFonts w:ascii="Arial" w:eastAsia="Times New Roman" w:hAnsi="Arial" w:cs="Arial"/>
          <w:color w:val="222222"/>
          <w:lang w:eastAsia="es-CR"/>
        </w:rPr>
        <w:t> </w:t>
      </w:r>
    </w:p>
    <w:p w:rsidR="001B1ABE" w:rsidRPr="001B1ABE" w:rsidRDefault="001B1ABE" w:rsidP="001B1ABE">
      <w:pPr>
        <w:shd w:val="clear" w:color="auto" w:fill="FFFFFF"/>
        <w:spacing w:before="100" w:beforeAutospacing="1" w:line="205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es-CR"/>
        </w:rPr>
      </w:pPr>
      <w:r w:rsidRPr="001B1ABE">
        <w:rPr>
          <w:rFonts w:ascii="Arial" w:eastAsia="Times New Roman" w:hAnsi="Arial" w:cs="Arial"/>
          <w:i/>
          <w:iCs/>
          <w:color w:val="222222"/>
          <w:lang w:eastAsia="es-CR"/>
        </w:rPr>
        <w:t>“Artículo 5.-</w:t>
      </w:r>
    </w:p>
    <w:p w:rsidR="001B1ABE" w:rsidRPr="001B1ABE" w:rsidRDefault="001B1ABE" w:rsidP="001B1ABE">
      <w:pPr>
        <w:shd w:val="clear" w:color="auto" w:fill="FFFFFF"/>
        <w:spacing w:before="100" w:beforeAutospacing="1" w:line="205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es-CR"/>
        </w:rPr>
      </w:pPr>
      <w:r w:rsidRPr="001B1ABE">
        <w:rPr>
          <w:rFonts w:ascii="Arial" w:eastAsia="Times New Roman" w:hAnsi="Arial" w:cs="Arial"/>
          <w:i/>
          <w:iCs/>
          <w:color w:val="222222"/>
          <w:lang w:eastAsia="es-CR"/>
        </w:rPr>
        <w:t>(…)</w:t>
      </w:r>
    </w:p>
    <w:p w:rsidR="001B1ABE" w:rsidRPr="001B1ABE" w:rsidRDefault="001B1ABE" w:rsidP="001B1ABE">
      <w:pPr>
        <w:shd w:val="clear" w:color="auto" w:fill="FFFFFF"/>
        <w:spacing w:before="100" w:beforeAutospacing="1" w:line="205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es-CR"/>
        </w:rPr>
      </w:pPr>
      <w:proofErr w:type="gramStart"/>
      <w:r w:rsidRPr="001B1ABE">
        <w:rPr>
          <w:rFonts w:ascii="Arial" w:eastAsia="Times New Roman" w:hAnsi="Arial" w:cs="Arial"/>
          <w:i/>
          <w:iCs/>
          <w:color w:val="222222"/>
          <w:lang w:eastAsia="es-CR"/>
        </w:rPr>
        <w:t>b) …</w:t>
      </w:r>
      <w:proofErr w:type="gramEnd"/>
      <w:r w:rsidRPr="001B1ABE">
        <w:rPr>
          <w:rFonts w:ascii="Arial" w:eastAsia="Times New Roman" w:hAnsi="Arial" w:cs="Arial"/>
          <w:i/>
          <w:iCs/>
          <w:color w:val="222222"/>
          <w:lang w:eastAsia="es-CR"/>
        </w:rPr>
        <w:t xml:space="preserve"> Las personas servidoras que cuentan con un contrato de dedicación exclusiva vigente, suscrito de pre-vio a la publicación de la  Ley N° 9635 con la condición de grado académico de Bachiller Universitario, que procedan a modificar dicha condición con referencia al grado de Licenciatura o superior, seguirán percibiendo los porcentajes de dedicación exclusiva que regían antes de la entrada en vigencia de la Ley 9635.”</w:t>
      </w:r>
    </w:p>
    <w:p w:rsidR="001B1ABE" w:rsidRPr="001B1ABE" w:rsidRDefault="001B1ABE" w:rsidP="001B1ABE">
      <w:pPr>
        <w:shd w:val="clear" w:color="auto" w:fill="FFFFFF"/>
        <w:spacing w:before="100" w:beforeAutospacing="1" w:line="205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es-CR"/>
        </w:rPr>
      </w:pPr>
      <w:r w:rsidRPr="001B1ABE">
        <w:rPr>
          <w:rFonts w:ascii="Arial" w:eastAsia="Times New Roman" w:hAnsi="Arial" w:cs="Arial"/>
          <w:i/>
          <w:iCs/>
          <w:color w:val="222222"/>
          <w:lang w:eastAsia="es-CR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1B1ABE" w:rsidRPr="001B1ABE" w:rsidRDefault="001B1ABE" w:rsidP="001B1ABE">
      <w:pPr>
        <w:shd w:val="clear" w:color="auto" w:fill="FFFFFF"/>
        <w:spacing w:before="100" w:beforeAutospacing="1" w:line="205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es-CR"/>
        </w:rPr>
      </w:pPr>
      <w:r w:rsidRPr="001B1ABE">
        <w:rPr>
          <w:rFonts w:ascii="Arial" w:eastAsia="Times New Roman" w:hAnsi="Arial" w:cs="Arial"/>
          <w:color w:val="222222"/>
          <w:lang w:eastAsia="es-CR"/>
        </w:rPr>
        <w:t>Por tanto:</w:t>
      </w:r>
    </w:p>
    <w:p w:rsidR="001B1ABE" w:rsidRPr="001B1ABE" w:rsidRDefault="001B1ABE" w:rsidP="001B1ABE">
      <w:pPr>
        <w:numPr>
          <w:ilvl w:val="0"/>
          <w:numId w:val="1"/>
        </w:numPr>
        <w:shd w:val="clear" w:color="auto" w:fill="FFFFFF"/>
        <w:spacing w:before="100" w:beforeAutospacing="1" w:line="205" w:lineRule="atLeast"/>
        <w:ind w:left="945"/>
        <w:jc w:val="both"/>
        <w:rPr>
          <w:rFonts w:ascii="Arial" w:eastAsia="Times New Roman" w:hAnsi="Arial" w:cs="Arial"/>
          <w:color w:val="222222"/>
          <w:sz w:val="24"/>
          <w:szCs w:val="24"/>
          <w:lang w:eastAsia="es-CR"/>
        </w:rPr>
      </w:pPr>
      <w:r w:rsidRPr="001B1ABE">
        <w:rPr>
          <w:rFonts w:ascii="Arial" w:eastAsia="Times New Roman" w:hAnsi="Arial" w:cs="Arial"/>
          <w:color w:val="222222"/>
          <w:lang w:val="es-ES" w:eastAsia="es-CR"/>
        </w:rPr>
        <w:t>Aquellos servidores que manteniendo un contrato vigente previo a la publicación de la Ley, con el porcentaje del 10% o 20% por el grado académico de bachillerato, y realizaron o vayan a realizar cambio de grado académico a Licenciatura o Superior, se les deberá reconocer el 55%, siempre y cuando el cambio se haya realizado con fecha igual o posterior a la entrada en vigencia de la Ley N°9635, 04 de diciembre del 2018. Es importante aclarar que los servidores que realizaron el cambio antes de esta fecha, no le corresponde el reconocimiento de este porcentaje.</w:t>
      </w:r>
    </w:p>
    <w:p w:rsidR="001B1ABE" w:rsidRPr="001B1ABE" w:rsidRDefault="001B1ABE" w:rsidP="001B1ABE">
      <w:pPr>
        <w:shd w:val="clear" w:color="auto" w:fill="FFFFFF"/>
        <w:spacing w:before="100" w:beforeAutospacing="1" w:line="205" w:lineRule="atLeast"/>
        <w:ind w:left="720"/>
        <w:jc w:val="both"/>
        <w:rPr>
          <w:rFonts w:ascii="Arial" w:eastAsia="Times New Roman" w:hAnsi="Arial" w:cs="Arial"/>
          <w:color w:val="222222"/>
          <w:sz w:val="24"/>
          <w:szCs w:val="24"/>
          <w:lang w:eastAsia="es-CR"/>
        </w:rPr>
      </w:pPr>
      <w:r w:rsidRPr="001B1ABE">
        <w:rPr>
          <w:rFonts w:ascii="Arial" w:eastAsia="Times New Roman" w:hAnsi="Arial" w:cs="Arial"/>
          <w:color w:val="222222"/>
          <w:lang w:val="es-ES" w:eastAsia="es-CR"/>
        </w:rPr>
        <w:t> </w:t>
      </w:r>
    </w:p>
    <w:p w:rsidR="001B1ABE" w:rsidRPr="001B1ABE" w:rsidRDefault="001B1ABE" w:rsidP="001B1ABE">
      <w:pPr>
        <w:numPr>
          <w:ilvl w:val="0"/>
          <w:numId w:val="2"/>
        </w:numPr>
        <w:shd w:val="clear" w:color="auto" w:fill="FFFFFF"/>
        <w:spacing w:before="100" w:beforeAutospacing="1" w:line="205" w:lineRule="atLeast"/>
        <w:ind w:left="945"/>
        <w:jc w:val="both"/>
        <w:rPr>
          <w:rFonts w:ascii="Arial" w:eastAsia="Times New Roman" w:hAnsi="Arial" w:cs="Arial"/>
          <w:color w:val="222222"/>
          <w:sz w:val="24"/>
          <w:szCs w:val="24"/>
          <w:lang w:eastAsia="es-CR"/>
        </w:rPr>
      </w:pPr>
      <w:r w:rsidRPr="001B1ABE">
        <w:rPr>
          <w:rFonts w:ascii="Arial" w:eastAsia="Times New Roman" w:hAnsi="Arial" w:cs="Arial"/>
          <w:color w:val="222222"/>
          <w:lang w:val="es-ES" w:eastAsia="es-CR"/>
        </w:rPr>
        <w:t>En caso de corresponderle el reconocimiento del porcentaje, este se realizará de manera retroactiva al día en que el funcionario firmó el cambio del grado académico.</w:t>
      </w:r>
    </w:p>
    <w:p w:rsidR="001B1ABE" w:rsidRPr="001B1ABE" w:rsidRDefault="001B1ABE" w:rsidP="001B1ABE">
      <w:pPr>
        <w:shd w:val="clear" w:color="auto" w:fill="FFFFFF"/>
        <w:spacing w:after="0" w:line="240" w:lineRule="auto"/>
        <w:ind w:left="708"/>
        <w:rPr>
          <w:rFonts w:ascii="Arial" w:eastAsia="Times New Roman" w:hAnsi="Arial" w:cs="Arial"/>
          <w:color w:val="222222"/>
          <w:sz w:val="24"/>
          <w:szCs w:val="24"/>
          <w:lang w:eastAsia="es-CR"/>
        </w:rPr>
      </w:pPr>
      <w:r w:rsidRPr="001B1ABE">
        <w:rPr>
          <w:rFonts w:ascii="Arial" w:eastAsia="Times New Roman" w:hAnsi="Arial" w:cs="Arial"/>
          <w:i/>
          <w:iCs/>
          <w:color w:val="222222"/>
          <w:lang w:val="es-ES" w:eastAsia="es-CR"/>
        </w:rPr>
        <w:t> </w:t>
      </w:r>
    </w:p>
    <w:p w:rsidR="001B1ABE" w:rsidRPr="001B1ABE" w:rsidRDefault="001B1ABE" w:rsidP="001B1ABE">
      <w:pPr>
        <w:shd w:val="clear" w:color="auto" w:fill="FFFFFF"/>
        <w:spacing w:after="0" w:line="240" w:lineRule="auto"/>
        <w:ind w:left="708"/>
        <w:rPr>
          <w:rFonts w:ascii="Arial" w:eastAsia="Times New Roman" w:hAnsi="Arial" w:cs="Arial"/>
          <w:color w:val="222222"/>
          <w:sz w:val="24"/>
          <w:szCs w:val="24"/>
          <w:lang w:eastAsia="es-CR"/>
        </w:rPr>
      </w:pPr>
      <w:r w:rsidRPr="001B1ABE">
        <w:rPr>
          <w:rFonts w:ascii="Arial" w:eastAsia="Times New Roman" w:hAnsi="Arial" w:cs="Arial"/>
          <w:i/>
          <w:iCs/>
          <w:color w:val="222222"/>
          <w:lang w:val="es-ES" w:eastAsia="es-CR"/>
        </w:rPr>
        <w:t> </w:t>
      </w:r>
    </w:p>
    <w:p w:rsidR="001B1ABE" w:rsidRPr="001B1ABE" w:rsidRDefault="001B1ABE" w:rsidP="001B1AB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CR"/>
        </w:rPr>
      </w:pPr>
      <w:r w:rsidRPr="001B1ABE">
        <w:rPr>
          <w:rFonts w:ascii="Arial" w:eastAsia="Times New Roman" w:hAnsi="Arial" w:cs="Arial"/>
          <w:color w:val="222222"/>
          <w:lang w:eastAsia="es-CR"/>
        </w:rPr>
        <w:t>De acuerdo a lo indicado, si su caso aplica a las disposiciones detalladas anteriormente o continua con duda al respecto, deberá proceder a replantear su consulta a través de la misma vía (correo electrónico </w:t>
      </w:r>
      <w:hyperlink r:id="rId6" w:tgtFrame="_blank" w:history="1">
        <w:r w:rsidRPr="001B1ABE">
          <w:rPr>
            <w:rFonts w:ascii="Arial" w:eastAsia="Times New Roman" w:hAnsi="Arial" w:cs="Arial"/>
            <w:b/>
            <w:bCs/>
            <w:i/>
            <w:iCs/>
            <w:u w:val="single"/>
            <w:lang w:eastAsia="es-CR"/>
          </w:rPr>
          <w:t>consulta.ley9655@mep.go.cr</w:t>
        </w:r>
      </w:hyperlink>
      <w:r w:rsidRPr="001B1ABE">
        <w:rPr>
          <w:rFonts w:ascii="Arial" w:eastAsia="Times New Roman" w:hAnsi="Arial" w:cs="Arial"/>
          <w:color w:val="222222"/>
          <w:lang w:eastAsia="es-CR"/>
        </w:rPr>
        <w:t>), especificando de manera clara la duda que mantienen al respecto de este reconocimiento.  </w:t>
      </w:r>
    </w:p>
    <w:p w:rsidR="001B1ABE" w:rsidRPr="001B1ABE" w:rsidRDefault="001B1ABE" w:rsidP="001B1A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R"/>
        </w:rPr>
      </w:pPr>
      <w:r w:rsidRPr="001B1ABE">
        <w:rPr>
          <w:rFonts w:ascii="Arial" w:eastAsia="Times New Roman" w:hAnsi="Arial" w:cs="Arial"/>
          <w:color w:val="222222"/>
          <w:lang w:eastAsia="es-CR"/>
        </w:rPr>
        <w:t> </w:t>
      </w:r>
    </w:p>
    <w:p w:rsidR="001B1ABE" w:rsidRPr="001B1ABE" w:rsidRDefault="001B1ABE" w:rsidP="001B1AB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CR"/>
        </w:rPr>
      </w:pPr>
      <w:r w:rsidRPr="001B1ABE">
        <w:rPr>
          <w:rFonts w:ascii="Arial" w:eastAsia="Times New Roman" w:hAnsi="Arial" w:cs="Arial"/>
          <w:color w:val="222222"/>
          <w:lang w:eastAsia="es-CR"/>
        </w:rPr>
        <w:t>De igual manera, a los servidores que se les deban reconocer los porcentajes indicados, se les estará </w:t>
      </w:r>
      <w:r w:rsidRPr="001B1ABE">
        <w:rPr>
          <w:rFonts w:ascii="Arial" w:eastAsia="Times New Roman" w:hAnsi="Arial" w:cs="Arial"/>
          <w:b/>
          <w:bCs/>
          <w:color w:val="222222"/>
          <w:u w:val="single"/>
          <w:lang w:eastAsia="es-CR"/>
        </w:rPr>
        <w:t>convocando vía correo electrónico</w:t>
      </w:r>
      <w:r w:rsidRPr="001B1ABE">
        <w:rPr>
          <w:rFonts w:ascii="Arial" w:eastAsia="Times New Roman" w:hAnsi="Arial" w:cs="Arial"/>
          <w:color w:val="222222"/>
          <w:lang w:eastAsia="es-CR"/>
        </w:rPr>
        <w:t xml:space="preserve"> a efecto de que suscriban un </w:t>
      </w:r>
      <w:proofErr w:type="spellStart"/>
      <w:r w:rsidRPr="001B1ABE">
        <w:rPr>
          <w:rFonts w:ascii="Arial" w:eastAsia="Times New Roman" w:hAnsi="Arial" w:cs="Arial"/>
          <w:color w:val="222222"/>
          <w:lang w:eastAsia="es-CR"/>
        </w:rPr>
        <w:t>Adendum</w:t>
      </w:r>
      <w:proofErr w:type="spellEnd"/>
      <w:r w:rsidRPr="001B1ABE">
        <w:rPr>
          <w:rFonts w:ascii="Arial" w:eastAsia="Times New Roman" w:hAnsi="Arial" w:cs="Arial"/>
          <w:color w:val="222222"/>
          <w:lang w:eastAsia="es-CR"/>
        </w:rPr>
        <w:t xml:space="preserve"> según corresponda</w:t>
      </w:r>
      <w:r w:rsidRPr="001B1ABE">
        <w:rPr>
          <w:rFonts w:ascii="Arial" w:eastAsia="Times New Roman" w:hAnsi="Arial" w:cs="Arial"/>
          <w:b/>
          <w:bCs/>
          <w:color w:val="222222"/>
          <w:lang w:eastAsia="es-CR"/>
        </w:rPr>
        <w:t>.</w:t>
      </w:r>
      <w:r w:rsidRPr="001B1ABE">
        <w:rPr>
          <w:rFonts w:ascii="Arial" w:eastAsia="Times New Roman" w:hAnsi="Arial" w:cs="Arial"/>
          <w:color w:val="222222"/>
          <w:lang w:eastAsia="es-CR"/>
        </w:rPr>
        <w:t>  </w:t>
      </w:r>
    </w:p>
    <w:p w:rsidR="001B1ABE" w:rsidRPr="001B1ABE" w:rsidRDefault="001B1ABE" w:rsidP="001B1AB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CR"/>
        </w:rPr>
      </w:pPr>
      <w:r w:rsidRPr="001B1ABE">
        <w:rPr>
          <w:rFonts w:ascii="Arial" w:eastAsia="Times New Roman" w:hAnsi="Arial" w:cs="Arial"/>
          <w:color w:val="222222"/>
          <w:lang w:eastAsia="es-CR"/>
        </w:rPr>
        <w:t> </w:t>
      </w:r>
    </w:p>
    <w:p w:rsidR="001B1ABE" w:rsidRPr="001B1ABE" w:rsidRDefault="001B1ABE" w:rsidP="001B1A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R"/>
        </w:rPr>
      </w:pPr>
      <w:r w:rsidRPr="001B1ABE">
        <w:rPr>
          <w:rFonts w:ascii="Calibri" w:eastAsia="Times New Roman" w:hAnsi="Calibri" w:cs="Arial"/>
          <w:color w:val="1F497D"/>
          <w:lang w:eastAsia="es-CR"/>
        </w:rPr>
        <w:t> </w:t>
      </w:r>
      <w:r w:rsidR="00BA098A">
        <w:rPr>
          <w:rFonts w:ascii="Calibri" w:eastAsia="Times New Roman" w:hAnsi="Calibri" w:cs="Arial"/>
          <w:color w:val="1F497D"/>
          <w:lang w:eastAsia="es-CR"/>
        </w:rPr>
        <w:t>Setiembre de 2019</w:t>
      </w:r>
    </w:p>
    <w:p w:rsidR="00BA098A" w:rsidRDefault="00BA098A" w:rsidP="001B1ABE">
      <w:pPr>
        <w:shd w:val="clear" w:color="auto" w:fill="FFFFFF"/>
        <w:spacing w:after="0" w:line="240" w:lineRule="auto"/>
        <w:rPr>
          <w:rFonts w:ascii="Calibri" w:eastAsia="Times New Roman" w:hAnsi="Calibri" w:cs="Arial"/>
          <w:b/>
          <w:bCs/>
          <w:i/>
          <w:iCs/>
          <w:color w:val="1F4E79"/>
          <w:lang w:eastAsia="es-CR"/>
        </w:rPr>
      </w:pPr>
    </w:p>
    <w:p w:rsidR="001B1ABE" w:rsidRPr="001B1ABE" w:rsidRDefault="001B1ABE" w:rsidP="001B1A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R"/>
        </w:rPr>
      </w:pPr>
      <w:bookmarkStart w:id="0" w:name="_GoBack"/>
      <w:bookmarkEnd w:id="0"/>
      <w:r w:rsidRPr="001B1ABE">
        <w:rPr>
          <w:rFonts w:ascii="Calibri" w:eastAsia="Times New Roman" w:hAnsi="Calibri" w:cs="Arial"/>
          <w:b/>
          <w:bCs/>
          <w:i/>
          <w:iCs/>
          <w:color w:val="1F4E79"/>
          <w:lang w:eastAsia="es-CR"/>
        </w:rPr>
        <w:t>Cordialmente.</w:t>
      </w:r>
      <w:r>
        <w:rPr>
          <w:rFonts w:ascii="Calibri" w:eastAsia="Times New Roman" w:hAnsi="Calibri" w:cs="Arial"/>
          <w:b/>
          <w:bCs/>
          <w:i/>
          <w:iCs/>
          <w:color w:val="1F4E79"/>
          <w:lang w:eastAsia="es-CR"/>
        </w:rPr>
        <w:t xml:space="preserve"> Dirección Recursos Humanos MEP</w:t>
      </w:r>
    </w:p>
    <w:p w:rsidR="001B1ABE" w:rsidRPr="001B1ABE" w:rsidRDefault="001B1ABE" w:rsidP="001B1A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R"/>
        </w:rPr>
      </w:pPr>
      <w:r w:rsidRPr="001B1ABE">
        <w:rPr>
          <w:rFonts w:ascii="Calibri" w:eastAsia="Times New Roman" w:hAnsi="Calibri" w:cs="Arial"/>
          <w:color w:val="1F497D"/>
          <w:lang w:eastAsia="es-CR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2"/>
        <w:gridCol w:w="5556"/>
      </w:tblGrid>
      <w:tr w:rsidR="001B1ABE" w:rsidRPr="001B1ABE" w:rsidTr="00BA098A">
        <w:trPr>
          <w:trHeight w:val="1304"/>
        </w:trPr>
        <w:tc>
          <w:tcPr>
            <w:tcW w:w="328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ABE" w:rsidRPr="001B1ABE" w:rsidRDefault="001B1ABE" w:rsidP="00BA0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R"/>
              </w:rPr>
            </w:pPr>
          </w:p>
        </w:tc>
        <w:tc>
          <w:tcPr>
            <w:tcW w:w="55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1ABE" w:rsidRPr="001B1ABE" w:rsidRDefault="001B1ABE" w:rsidP="001B1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R"/>
              </w:rPr>
            </w:pPr>
          </w:p>
        </w:tc>
      </w:tr>
    </w:tbl>
    <w:p w:rsidR="00F517FA" w:rsidRDefault="00BA098A"/>
    <w:sectPr w:rsidR="00F517F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916A0"/>
    <w:multiLevelType w:val="multilevel"/>
    <w:tmpl w:val="689804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5734C1"/>
    <w:multiLevelType w:val="multilevel"/>
    <w:tmpl w:val="0624F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ABE"/>
    <w:rsid w:val="001B1ABE"/>
    <w:rsid w:val="00491560"/>
    <w:rsid w:val="00BA098A"/>
    <w:rsid w:val="00D353C2"/>
    <w:rsid w:val="00E2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9AA820-2950-4A48-BCD5-550D32BFF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915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915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30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sulta.ley9655@mep.go.cr" TargetMode="External"/><Relationship Id="rId5" Type="http://schemas.openxmlformats.org/officeDocument/2006/relationships/hyperlink" Target="mailto:consulta.ley9655@mep.go.c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674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Carlos</dc:creator>
  <cp:keywords/>
  <dc:description/>
  <cp:lastModifiedBy>Don Carlos</cp:lastModifiedBy>
  <cp:revision>2</cp:revision>
  <cp:lastPrinted>2019-08-30T20:05:00Z</cp:lastPrinted>
  <dcterms:created xsi:type="dcterms:W3CDTF">2019-08-30T19:54:00Z</dcterms:created>
  <dcterms:modified xsi:type="dcterms:W3CDTF">2019-09-17T15:53:00Z</dcterms:modified>
</cp:coreProperties>
</file>